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859768" w14:textId="04919468" w:rsidR="0087238B" w:rsidRPr="00AB4F23" w:rsidRDefault="00AB4F23" w:rsidP="00043970">
      <w:pPr>
        <w:widowControl w:val="0"/>
        <w:tabs>
          <w:tab w:val="left" w:pos="220"/>
          <w:tab w:val="left" w:pos="720"/>
        </w:tabs>
        <w:autoSpaceDE w:val="0"/>
        <w:autoSpaceDN w:val="0"/>
        <w:adjustRightInd w:val="0"/>
        <w:rPr>
          <w:rFonts w:ascii="TitilliumWeb-Regular" w:hAnsi="TitilliumWeb-Regular" w:cs="TitilliumWeb-Regular"/>
          <w:b/>
          <w:sz w:val="26"/>
          <w:szCs w:val="30"/>
        </w:rPr>
      </w:pPr>
      <w:r w:rsidRPr="00AB4F23">
        <w:rPr>
          <w:rFonts w:ascii="TitilliumWeb-Regular" w:hAnsi="TitilliumWeb-Regular" w:cs="TitilliumWeb-Regular"/>
          <w:b/>
          <w:sz w:val="26"/>
          <w:szCs w:val="30"/>
        </w:rPr>
        <w:t>_</w:t>
      </w:r>
      <w:r w:rsidR="00CD2216">
        <w:rPr>
          <w:rFonts w:ascii="TitilliumWeb-Regular" w:hAnsi="TitilliumWeb-Regular" w:cs="TitilliumWeb-Regular"/>
          <w:b/>
          <w:sz w:val="26"/>
          <w:szCs w:val="30"/>
        </w:rPr>
        <w:t xml:space="preserve">VM Sistemi </w:t>
      </w:r>
      <w:proofErr w:type="spellStart"/>
      <w:r w:rsidR="00CD2216">
        <w:rPr>
          <w:rFonts w:ascii="TitilliumWeb-Regular" w:hAnsi="TitilliumWeb-Regular" w:cs="TitilliumWeb-Regular"/>
          <w:b/>
          <w:sz w:val="26"/>
          <w:szCs w:val="30"/>
        </w:rPr>
        <w:t>SpA</w:t>
      </w:r>
      <w:proofErr w:type="spellEnd"/>
      <w:r w:rsidRPr="00AB4F23">
        <w:rPr>
          <w:rFonts w:ascii="TitilliumWeb-Regular" w:hAnsi="TitilliumWeb-Regular" w:cs="TitilliumWeb-Regular"/>
          <w:b/>
          <w:sz w:val="26"/>
          <w:szCs w:val="30"/>
        </w:rPr>
        <w:t>_</w:t>
      </w:r>
    </w:p>
    <w:p w14:paraId="330E47D9" w14:textId="1ED2CC40" w:rsidR="0087238B" w:rsidRPr="00AB4F23" w:rsidRDefault="0087238B" w:rsidP="00043970">
      <w:pPr>
        <w:widowControl w:val="0"/>
        <w:tabs>
          <w:tab w:val="left" w:pos="220"/>
          <w:tab w:val="left" w:pos="720"/>
        </w:tabs>
        <w:autoSpaceDE w:val="0"/>
        <w:autoSpaceDN w:val="0"/>
        <w:adjustRightInd w:val="0"/>
        <w:rPr>
          <w:rFonts w:ascii="TitilliumWeb-Regular" w:hAnsi="TitilliumWeb-Regular" w:cs="TitilliumWeb-Regular"/>
          <w:b/>
          <w:sz w:val="26"/>
          <w:szCs w:val="30"/>
        </w:rPr>
      </w:pPr>
    </w:p>
    <w:p w14:paraId="7DAE8EEE" w14:textId="17F27E7B" w:rsidR="00985740" w:rsidRPr="00985740" w:rsidRDefault="0088544B" w:rsidP="00043970">
      <w:pPr>
        <w:widowControl w:val="0"/>
        <w:tabs>
          <w:tab w:val="left" w:pos="220"/>
          <w:tab w:val="left" w:pos="720"/>
        </w:tabs>
        <w:autoSpaceDE w:val="0"/>
        <w:autoSpaceDN w:val="0"/>
        <w:adjustRightInd w:val="0"/>
        <w:rPr>
          <w:rFonts w:ascii="TitilliumWeb-Regular" w:hAnsi="TitilliumWeb-Regular" w:cs="TitilliumWeb-Regular"/>
          <w:b/>
          <w:bCs/>
          <w:sz w:val="36"/>
          <w:szCs w:val="40"/>
        </w:rPr>
      </w:pPr>
      <w:r>
        <w:rPr>
          <w:noProof/>
        </w:rPr>
        <w:pict w14:anchorId="3D8810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8" o:spid="_x0000_s1101" type="#_x0000_t75" style="position:absolute;margin-left:286.05pt;margin-top:4.3pt;width:185.15pt;height:79.25pt;z-index:251661312;visibility:visible;mso-wrap-style:square;mso-position-horizontal-relative:text;mso-position-vertical-relative:text">
            <v:imagedata r:id="rId11" o:title=""/>
            <w10:wrap type="square"/>
          </v:shape>
        </w:pict>
      </w:r>
      <w:r w:rsidR="00985740" w:rsidRPr="00985740">
        <w:rPr>
          <w:rFonts w:ascii="TitilliumWeb-Regular" w:hAnsi="TitilliumWeb-Regular" w:cs="TitilliumWeb-Regular"/>
          <w:b/>
          <w:bCs/>
          <w:sz w:val="36"/>
          <w:szCs w:val="40"/>
        </w:rPr>
        <w:t>Hyperintegration per abilitare la Digital Transformation</w:t>
      </w:r>
    </w:p>
    <w:p w14:paraId="6114BAC2" w14:textId="55878C9F" w:rsidR="00985740" w:rsidRPr="00985740" w:rsidRDefault="00985740" w:rsidP="00043970">
      <w:pPr>
        <w:widowControl w:val="0"/>
        <w:tabs>
          <w:tab w:val="left" w:pos="220"/>
          <w:tab w:val="left" w:pos="720"/>
        </w:tabs>
        <w:autoSpaceDE w:val="0"/>
        <w:autoSpaceDN w:val="0"/>
        <w:adjustRightInd w:val="0"/>
        <w:rPr>
          <w:rFonts w:ascii="TitilliumWeb-Regular" w:hAnsi="TitilliumWeb-Regular" w:cs="TitilliumWeb-Regular"/>
          <w:sz w:val="32"/>
          <w:szCs w:val="36"/>
        </w:rPr>
      </w:pPr>
      <w:r w:rsidRPr="00985740">
        <w:rPr>
          <w:rFonts w:ascii="TitilliumWeb-Regular" w:hAnsi="TitilliumWeb-Regular" w:cs="TitilliumWeb-Regular"/>
          <w:sz w:val="32"/>
          <w:szCs w:val="36"/>
        </w:rPr>
        <w:t>Il Caso di Successo</w:t>
      </w:r>
      <w:r w:rsidR="0088544B">
        <w:rPr>
          <w:rFonts w:ascii="TitilliumWeb-Regular" w:hAnsi="TitilliumWeb-Regular" w:cs="TitilliumWeb-Regular"/>
          <w:sz w:val="32"/>
          <w:szCs w:val="36"/>
        </w:rPr>
        <w:t xml:space="preserve"> del Gruppo</w:t>
      </w:r>
      <w:r w:rsidRPr="00985740">
        <w:rPr>
          <w:rFonts w:ascii="TitilliumWeb-Regular" w:hAnsi="TitilliumWeb-Regular" w:cs="TitilliumWeb-Regular"/>
          <w:sz w:val="32"/>
          <w:szCs w:val="36"/>
        </w:rPr>
        <w:t xml:space="preserve"> Tampieri </w:t>
      </w:r>
    </w:p>
    <w:p w14:paraId="65C5B20E" w14:textId="77777777" w:rsidR="00985740" w:rsidRPr="00985740" w:rsidRDefault="0098574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p>
    <w:p w14:paraId="28D415D3" w14:textId="77777777" w:rsidR="00985740" w:rsidRDefault="00985740"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7AC65133" w14:textId="0FBB8B1A" w:rsidR="009B27FE" w:rsidRPr="00AB4F23" w:rsidRDefault="009B27FE"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r w:rsidRPr="00AB4F23">
        <w:rPr>
          <w:rFonts w:ascii="TitilliumWeb-Regular" w:hAnsi="TitilliumWeb-Regular" w:cs="TitilliumWeb-Regular"/>
          <w:color w:val="787878"/>
          <w:sz w:val="26"/>
          <w:szCs w:val="30"/>
        </w:rPr>
        <w:t>Descrizione della problematica o del bisogno nell’azienda o pubblica amministrazione utente.</w:t>
      </w:r>
    </w:p>
    <w:p w14:paraId="06B29060" w14:textId="387368F2"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b/>
          <w:bCs/>
          <w:sz w:val="26"/>
          <w:szCs w:val="30"/>
        </w:rPr>
        <w:t>Modernizzazione dell’Infrastruttura ICT</w:t>
      </w:r>
    </w:p>
    <w:p w14:paraId="2E9C6555" w14:textId="77777777" w:rsidR="00043970" w:rsidRPr="00043970"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Col passaggio a </w:t>
      </w:r>
      <w:r w:rsidRPr="00043970">
        <w:rPr>
          <w:rFonts w:ascii="TitilliumWeb-Regular" w:hAnsi="TitilliumWeb-Regular" w:cs="TitilliumWeb-Regular"/>
          <w:b/>
          <w:bCs/>
          <w:sz w:val="26"/>
          <w:szCs w:val="30"/>
        </w:rPr>
        <w:t xml:space="preserve">SAP HANA </w:t>
      </w:r>
      <w:r w:rsidRPr="00043970">
        <w:rPr>
          <w:rFonts w:ascii="TitilliumWeb-Regular" w:hAnsi="TitilliumWeb-Regular" w:cs="TitilliumWeb-Regular"/>
          <w:sz w:val="26"/>
          <w:szCs w:val="30"/>
        </w:rPr>
        <w:t xml:space="preserve">è sorta la necessità di far evolvere i sistemi POWER sui quali convivevano SAP on </w:t>
      </w:r>
      <w:r w:rsidRPr="00043970">
        <w:rPr>
          <w:rFonts w:ascii="TitilliumWeb-Regular" w:hAnsi="TitilliumWeb-Regular" w:cs="TitilliumWeb-Regular"/>
          <w:b/>
          <w:bCs/>
          <w:sz w:val="26"/>
          <w:szCs w:val="30"/>
        </w:rPr>
        <w:t>IBM i</w:t>
      </w:r>
      <w:r w:rsidRPr="00043970">
        <w:rPr>
          <w:rFonts w:ascii="TitilliumWeb-Regular" w:hAnsi="TitilliumWeb-Regular" w:cs="TitilliumWeb-Regular"/>
          <w:sz w:val="26"/>
          <w:szCs w:val="30"/>
        </w:rPr>
        <w:t xml:space="preserve"> e applicativi ERP gestionale. L’Azienda ha colto l’occasione per modernizzare parte della propria infrastruttura, confermando la fiducia nelle tecnologie </w:t>
      </w:r>
      <w:r w:rsidRPr="00043970">
        <w:rPr>
          <w:rFonts w:ascii="TitilliumWeb-Regular" w:hAnsi="TitilliumWeb-Regular" w:cs="TitilliumWeb-Regular"/>
          <w:b/>
          <w:bCs/>
          <w:sz w:val="26"/>
          <w:szCs w:val="30"/>
        </w:rPr>
        <w:t>IBM con la scelta SAP HANA on POWER</w:t>
      </w:r>
      <w:r w:rsidRPr="00043970">
        <w:rPr>
          <w:rFonts w:ascii="TitilliumWeb-Regular" w:hAnsi="TitilliumWeb-Regular" w:cs="TitilliumWeb-Regular"/>
          <w:sz w:val="26"/>
          <w:szCs w:val="30"/>
        </w:rPr>
        <w:t xml:space="preserve">, in collaborazione con VM Sistemi - </w:t>
      </w:r>
      <w:r w:rsidRPr="00043970">
        <w:rPr>
          <w:rFonts w:ascii="TitilliumWeb-Regular" w:hAnsi="TitilliumWeb-Regular" w:cs="TitilliumWeb-Regular"/>
          <w:b/>
          <w:bCs/>
          <w:sz w:val="26"/>
          <w:szCs w:val="30"/>
        </w:rPr>
        <w:t>Platinum Business Partner</w:t>
      </w:r>
      <w:r w:rsidRPr="00043970">
        <w:rPr>
          <w:rFonts w:ascii="TitilliumWeb-Regular" w:hAnsi="TitilliumWeb-Regular" w:cs="TitilliumWeb-Regular"/>
          <w:sz w:val="26"/>
          <w:szCs w:val="30"/>
        </w:rPr>
        <w:t xml:space="preserve">. </w:t>
      </w:r>
    </w:p>
    <w:p w14:paraId="70CC6693" w14:textId="77777777" w:rsidR="00CD2216" w:rsidRDefault="00CD2216" w:rsidP="00043970">
      <w:pPr>
        <w:widowControl w:val="0"/>
        <w:tabs>
          <w:tab w:val="left" w:pos="220"/>
          <w:tab w:val="left" w:pos="720"/>
        </w:tabs>
        <w:autoSpaceDE w:val="0"/>
        <w:autoSpaceDN w:val="0"/>
        <w:adjustRightInd w:val="0"/>
        <w:rPr>
          <w:rFonts w:ascii="TitilliumWeb-Regular" w:hAnsi="TitilliumWeb-Regular" w:cs="TitilliumWeb-Regular"/>
          <w:b/>
          <w:bCs/>
          <w:color w:val="787878"/>
          <w:sz w:val="26"/>
          <w:szCs w:val="30"/>
        </w:rPr>
      </w:pPr>
    </w:p>
    <w:p w14:paraId="78C3CDC5" w14:textId="50DE075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b/>
          <w:bCs/>
          <w:sz w:val="26"/>
          <w:szCs w:val="30"/>
        </w:rPr>
        <w:t>Impegno continuo alla sostenibilità</w:t>
      </w:r>
    </w:p>
    <w:p w14:paraId="762F086C" w14:textId="77777777" w:rsidR="00043970" w:rsidRPr="00043970"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La sensibilità e la presenza verso le esigenze della comunità, spinge l’Azienda a promuovere azioni nell’interesse del più ampio numero di persone possibili. Fra queste spicca l’</w:t>
      </w:r>
      <w:r w:rsidRPr="00043970">
        <w:rPr>
          <w:rFonts w:ascii="TitilliumWeb-Regular" w:hAnsi="TitilliumWeb-Regular" w:cs="TitilliumWeb-Regular"/>
          <w:b/>
          <w:bCs/>
          <w:sz w:val="26"/>
          <w:szCs w:val="30"/>
        </w:rPr>
        <w:t xml:space="preserve">attenzione alla sicurezza informatica dei dati e degli impianti </w:t>
      </w:r>
      <w:r w:rsidRPr="00043970">
        <w:rPr>
          <w:rFonts w:ascii="TitilliumWeb-Regular" w:hAnsi="TitilliumWeb-Regular" w:cs="TitilliumWeb-Regular"/>
          <w:sz w:val="26"/>
          <w:szCs w:val="30"/>
        </w:rPr>
        <w:t>che l’azienda gestisce, al fine di prevenire i rischi legati ad eventuali compromissioni.</w:t>
      </w:r>
    </w:p>
    <w:p w14:paraId="3CEC3313" w14:textId="77777777" w:rsidR="009B27FE" w:rsidRDefault="009B27FE"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4C704461" w14:textId="77777777" w:rsidR="00AB4F23" w:rsidRP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09FC2D56" w14:textId="6C880AAA" w:rsidR="009B27FE" w:rsidRDefault="009B27FE"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r w:rsidRPr="00AB4F23">
        <w:rPr>
          <w:rFonts w:ascii="TitilliumWeb-Regular" w:hAnsi="TitilliumWeb-Regular" w:cs="TitilliumWeb-Regular"/>
          <w:color w:val="787878"/>
          <w:sz w:val="26"/>
          <w:szCs w:val="30"/>
        </w:rPr>
        <w:t>Descrizione della soluzione tecnologica (tecnologie usate, architettura, ecc.).</w:t>
      </w:r>
    </w:p>
    <w:p w14:paraId="54CF2C68" w14:textId="7777777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b/>
          <w:bCs/>
          <w:sz w:val="26"/>
          <w:szCs w:val="30"/>
        </w:rPr>
        <w:t>Soluzione infrastrutturale: nuovi sistemi dedicati a SAP</w:t>
      </w:r>
    </w:p>
    <w:p w14:paraId="468F050A" w14:textId="6BBC79B8" w:rsidR="00CD2216" w:rsidRPr="00CD2216" w:rsidRDefault="00CD2216" w:rsidP="00043970">
      <w:pPr>
        <w:widowControl w:val="0"/>
        <w:numPr>
          <w:ilvl w:val="0"/>
          <w:numId w:val="5"/>
        </w:numPr>
        <w:tabs>
          <w:tab w:val="left" w:pos="220"/>
          <w:tab w:val="left" w:pos="720"/>
        </w:tabs>
        <w:autoSpaceDE w:val="0"/>
        <w:autoSpaceDN w:val="0"/>
        <w:adjustRightInd w:val="0"/>
        <w:rPr>
          <w:rFonts w:ascii="TitilliumWeb-Regular" w:hAnsi="TitilliumWeb-Regular" w:cs="TitilliumWeb-Regular"/>
          <w:sz w:val="26"/>
          <w:szCs w:val="30"/>
        </w:rPr>
      </w:pPr>
      <w:r w:rsidRPr="00985740">
        <w:rPr>
          <w:rFonts w:ascii="TitilliumWeb-Regular" w:hAnsi="TitilliumWeb-Regular" w:cs="TitilliumWeb-Regular"/>
          <w:sz w:val="26"/>
          <w:szCs w:val="30"/>
        </w:rPr>
        <w:t>Due sistemi IBM Power Systems S922 corredati di una nuova HMC</w:t>
      </w:r>
    </w:p>
    <w:p w14:paraId="4D620A1C" w14:textId="0178A118" w:rsidR="00CD2216" w:rsidRPr="00CD2216" w:rsidRDefault="00CD2216" w:rsidP="00043970">
      <w:pPr>
        <w:widowControl w:val="0"/>
        <w:numPr>
          <w:ilvl w:val="0"/>
          <w:numId w:val="5"/>
        </w:numPr>
        <w:tabs>
          <w:tab w:val="left" w:pos="220"/>
          <w:tab w:val="left" w:pos="720"/>
        </w:tabs>
        <w:autoSpaceDE w:val="0"/>
        <w:autoSpaceDN w:val="0"/>
        <w:adjustRightInd w:val="0"/>
        <w:rPr>
          <w:rFonts w:ascii="TitilliumWeb-Regular" w:hAnsi="TitilliumWeb-Regular" w:cs="TitilliumWeb-Regular"/>
          <w:sz w:val="26"/>
          <w:szCs w:val="30"/>
        </w:rPr>
      </w:pPr>
      <w:r w:rsidRPr="00985740">
        <w:rPr>
          <w:rFonts w:ascii="TitilliumWeb-Regular" w:hAnsi="TitilliumWeb-Regular" w:cs="TitilliumWeb-Regular"/>
          <w:sz w:val="26"/>
          <w:szCs w:val="30"/>
        </w:rPr>
        <w:t xml:space="preserve">Upgrade dei due sistemi installati IBM Storage </w:t>
      </w:r>
      <w:proofErr w:type="spellStart"/>
      <w:r w:rsidRPr="00985740">
        <w:rPr>
          <w:rFonts w:ascii="TitilliumWeb-Regular" w:hAnsi="TitilliumWeb-Regular" w:cs="TitilliumWeb-Regular"/>
          <w:sz w:val="26"/>
          <w:szCs w:val="30"/>
        </w:rPr>
        <w:t>Storwize</w:t>
      </w:r>
      <w:proofErr w:type="spellEnd"/>
      <w:r w:rsidRPr="00985740">
        <w:rPr>
          <w:rFonts w:ascii="TitilliumWeb-Regular" w:hAnsi="TitilliumWeb-Regular" w:cs="TitilliumWeb-Regular"/>
          <w:sz w:val="26"/>
          <w:szCs w:val="30"/>
        </w:rPr>
        <w:t xml:space="preserve"> 5100</w:t>
      </w:r>
    </w:p>
    <w:p w14:paraId="11BB96C1" w14:textId="73F02B7B" w:rsidR="00CD2216" w:rsidRPr="00985740" w:rsidRDefault="00CD2216" w:rsidP="00043970">
      <w:pPr>
        <w:widowControl w:val="0"/>
        <w:numPr>
          <w:ilvl w:val="0"/>
          <w:numId w:val="5"/>
        </w:numPr>
        <w:tabs>
          <w:tab w:val="left" w:pos="220"/>
          <w:tab w:val="left" w:pos="720"/>
        </w:tabs>
        <w:autoSpaceDE w:val="0"/>
        <w:autoSpaceDN w:val="0"/>
        <w:adjustRightInd w:val="0"/>
        <w:rPr>
          <w:rFonts w:ascii="TitilliumWeb-Regular" w:hAnsi="TitilliumWeb-Regular" w:cs="TitilliumWeb-Regular"/>
          <w:sz w:val="26"/>
          <w:szCs w:val="30"/>
        </w:rPr>
      </w:pPr>
      <w:r w:rsidRPr="00985740">
        <w:rPr>
          <w:rFonts w:ascii="TitilliumWeb-Regular" w:hAnsi="TitilliumWeb-Regular" w:cs="TitilliumWeb-Regular"/>
          <w:sz w:val="26"/>
          <w:szCs w:val="30"/>
        </w:rPr>
        <w:t>Upgrade dei quattro IBM SAN SWITCH installati</w:t>
      </w:r>
    </w:p>
    <w:p w14:paraId="27B8549F" w14:textId="5FC1057E" w:rsidR="00CD2216" w:rsidRDefault="0088544B" w:rsidP="00043970">
      <w:pPr>
        <w:widowControl w:val="0"/>
        <w:tabs>
          <w:tab w:val="left" w:pos="220"/>
          <w:tab w:val="left" w:pos="720"/>
        </w:tabs>
        <w:autoSpaceDE w:val="0"/>
        <w:autoSpaceDN w:val="0"/>
        <w:adjustRightInd w:val="0"/>
        <w:rPr>
          <w:rFonts w:ascii="TitilliumWeb-Regular" w:hAnsi="TitilliumWeb-Regular" w:cs="TitilliumWeb-Regular"/>
          <w:b/>
          <w:bCs/>
          <w:sz w:val="26"/>
          <w:szCs w:val="30"/>
        </w:rPr>
      </w:pPr>
      <w:r>
        <w:rPr>
          <w:noProof/>
        </w:rPr>
        <w:pict w14:anchorId="03705AB9">
          <v:shape id="Immagine 1" o:spid="_x0000_s1102" type="#_x0000_t75" style="position:absolute;margin-left:31.8pt;margin-top:2.65pt;width:439.9pt;height:212.4pt;z-index:251663360;visibility:visible;mso-wrap-style:square;mso-position-horizontal-relative:text;mso-position-vertical-relative:text">
            <v:imagedata r:id="rId12" o:title=""/>
            <w10:wrap type="square"/>
          </v:shape>
        </w:pict>
      </w:r>
    </w:p>
    <w:p w14:paraId="5A83D6E2" w14:textId="7930B81B"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p>
    <w:p w14:paraId="5569491A"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43265B36"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5AF5BF6C" w14:textId="3A0C2303" w:rsidR="00CD2216" w:rsidRPr="00CD2216"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Pr>
          <w:rFonts w:ascii="TitilliumWeb-Regular" w:hAnsi="TitilliumWeb-Regular" w:cs="TitilliumWeb-Regular"/>
          <w:b/>
          <w:bCs/>
          <w:sz w:val="26"/>
          <w:szCs w:val="30"/>
        </w:rPr>
        <w:br w:type="page"/>
      </w:r>
      <w:r w:rsidR="00CD2216" w:rsidRPr="00CD2216">
        <w:rPr>
          <w:rFonts w:ascii="TitilliumWeb-Regular" w:hAnsi="TitilliumWeb-Regular" w:cs="TitilliumWeb-Regular"/>
          <w:b/>
          <w:bCs/>
          <w:sz w:val="26"/>
          <w:szCs w:val="30"/>
        </w:rPr>
        <w:lastRenderedPageBreak/>
        <w:t>Soluzione ICT Security: protezione su tutta l’infrastruttura grazie al controllo continuo dei Log</w:t>
      </w:r>
    </w:p>
    <w:p w14:paraId="7F54A8FC" w14:textId="7777777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Punto focale della soluzione di Security è il </w:t>
      </w:r>
      <w:r w:rsidRPr="00CD2216">
        <w:rPr>
          <w:rFonts w:ascii="TitilliumWeb-Regular" w:hAnsi="TitilliumWeb-Regular" w:cs="TitilliumWeb-Regular"/>
          <w:b/>
          <w:bCs/>
          <w:sz w:val="26"/>
          <w:szCs w:val="30"/>
        </w:rPr>
        <w:t>SIEM IBM QRadar</w:t>
      </w:r>
      <w:r w:rsidRPr="00CD2216">
        <w:rPr>
          <w:rFonts w:ascii="TitilliumWeb-Regular" w:hAnsi="TitilliumWeb-Regular" w:cs="TitilliumWeb-Regular"/>
          <w:sz w:val="26"/>
          <w:szCs w:val="30"/>
        </w:rPr>
        <w:t xml:space="preserve">, che si occupa di ricevere e correlare i dati dai flussi di Log e di rete, producendo </w:t>
      </w:r>
      <w:proofErr w:type="spellStart"/>
      <w:r w:rsidRPr="00CD2216">
        <w:rPr>
          <w:rFonts w:ascii="TitilliumWeb-Regular" w:hAnsi="TitilliumWeb-Regular" w:cs="TitilliumWeb-Regular"/>
          <w:sz w:val="26"/>
          <w:szCs w:val="30"/>
        </w:rPr>
        <w:t>alert</w:t>
      </w:r>
      <w:proofErr w:type="spellEnd"/>
      <w:r w:rsidRPr="00CD2216">
        <w:rPr>
          <w:rFonts w:ascii="TitilliumWeb-Regular" w:hAnsi="TitilliumWeb-Regular" w:cs="TitilliumWeb-Regular"/>
          <w:sz w:val="26"/>
          <w:szCs w:val="30"/>
        </w:rPr>
        <w:t xml:space="preserve"> e dialogando con il </w:t>
      </w:r>
      <w:r w:rsidRPr="00CD2216">
        <w:rPr>
          <w:rFonts w:ascii="TitilliumWeb-Regular" w:hAnsi="TitilliumWeb-Regular" w:cs="TitilliumWeb-Regular"/>
          <w:b/>
          <w:bCs/>
          <w:sz w:val="26"/>
          <w:szCs w:val="30"/>
        </w:rPr>
        <w:t>Next Generation Firewall</w:t>
      </w:r>
      <w:r w:rsidRPr="00CD2216">
        <w:rPr>
          <w:rFonts w:ascii="TitilliumWeb-Regular" w:hAnsi="TitilliumWeb-Regular" w:cs="TitilliumWeb-Regular"/>
          <w:sz w:val="26"/>
          <w:szCs w:val="30"/>
        </w:rPr>
        <w:t xml:space="preserve"> per la popolazione di policy di sicurezza, a seguito di evidenze rilevate.</w:t>
      </w:r>
    </w:p>
    <w:p w14:paraId="6DE3C813" w14:textId="7777777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Come soluzione di Sicurezza Perimetrale sono state scelte appliance </w:t>
      </w:r>
      <w:r w:rsidRPr="00CD2216">
        <w:rPr>
          <w:rFonts w:ascii="TitilliumWeb-Regular" w:hAnsi="TitilliumWeb-Regular" w:cs="TitilliumWeb-Regular"/>
          <w:b/>
          <w:bCs/>
          <w:sz w:val="26"/>
          <w:szCs w:val="30"/>
        </w:rPr>
        <w:t xml:space="preserve">Palo Alto </w:t>
      </w:r>
      <w:r w:rsidRPr="00CD2216">
        <w:rPr>
          <w:rFonts w:ascii="TitilliumWeb-Regular" w:hAnsi="TitilliumWeb-Regular" w:cs="TitilliumWeb-Regular"/>
          <w:sz w:val="26"/>
          <w:szCs w:val="30"/>
        </w:rPr>
        <w:t xml:space="preserve">Next Generation Firewall per la sede centrale e quelle remote, in quanto soluzione riconosciuta come leader di mercato, dotata di un potente e preciso motore di riconoscimento delle applicazioni, che permette la scrittura di policy molto puntuali per utente / gruppo / applicazione / ecc. Questo ha permesso di elevare la sicurezza fino al </w:t>
      </w:r>
      <w:proofErr w:type="spellStart"/>
      <w:r w:rsidRPr="00CD2216">
        <w:rPr>
          <w:rFonts w:ascii="TitilliumWeb-Regular" w:hAnsi="TitilliumWeb-Regular" w:cs="TitilliumWeb-Regular"/>
          <w:b/>
          <w:bCs/>
          <w:sz w:val="26"/>
          <w:szCs w:val="30"/>
        </w:rPr>
        <w:t>layer</w:t>
      </w:r>
      <w:proofErr w:type="spellEnd"/>
      <w:r w:rsidRPr="00CD2216">
        <w:rPr>
          <w:rFonts w:ascii="TitilliumWeb-Regular" w:hAnsi="TitilliumWeb-Regular" w:cs="TitilliumWeb-Regular"/>
          <w:b/>
          <w:bCs/>
          <w:sz w:val="26"/>
          <w:szCs w:val="30"/>
        </w:rPr>
        <w:t xml:space="preserve"> 7</w:t>
      </w:r>
      <w:r w:rsidRPr="00CD2216">
        <w:rPr>
          <w:rFonts w:ascii="TitilliumWeb-Regular" w:hAnsi="TitilliumWeb-Regular" w:cs="TitilliumWeb-Regular"/>
          <w:sz w:val="26"/>
          <w:szCs w:val="30"/>
        </w:rPr>
        <w:t xml:space="preserve">. Rispetto ai competitor, Palo Alto fornisce </w:t>
      </w:r>
      <w:r w:rsidRPr="00CD2216">
        <w:rPr>
          <w:rFonts w:ascii="TitilliumWeb-Regular" w:hAnsi="TitilliumWeb-Regular" w:cs="TitilliumWeb-Regular"/>
          <w:b/>
          <w:bCs/>
          <w:sz w:val="26"/>
          <w:szCs w:val="30"/>
        </w:rPr>
        <w:t>grande visibilità a livello di Log</w:t>
      </w:r>
      <w:r w:rsidRPr="00CD2216">
        <w:rPr>
          <w:rFonts w:ascii="TitilliumWeb-Regular" w:hAnsi="TitilliumWeb-Regular" w:cs="TitilliumWeb-Regular"/>
          <w:sz w:val="26"/>
          <w:szCs w:val="30"/>
        </w:rPr>
        <w:t>, quindi l’integrazione con IBM QRadar è ancora più efficiente.</w:t>
      </w:r>
    </w:p>
    <w:p w14:paraId="567F7CE8" w14:textId="3B7D28D1"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Lo </w:t>
      </w:r>
      <w:r w:rsidRPr="00CD2216">
        <w:rPr>
          <w:rFonts w:ascii="TitilliumWeb-Regular" w:hAnsi="TitilliumWeb-Regular" w:cs="TitilliumWeb-Regular"/>
          <w:b/>
          <w:bCs/>
          <w:sz w:val="26"/>
          <w:szCs w:val="30"/>
        </w:rPr>
        <w:t>Smartworking</w:t>
      </w:r>
      <w:r w:rsidRPr="00CD2216">
        <w:rPr>
          <w:rFonts w:ascii="TitilliumWeb-Regular" w:hAnsi="TitilliumWeb-Regular" w:cs="TitilliumWeb-Regular"/>
          <w:sz w:val="26"/>
          <w:szCs w:val="30"/>
        </w:rPr>
        <w:t>, cresciuto notevolmente nell’</w:t>
      </w:r>
      <w:r w:rsidRPr="00CD2216">
        <w:rPr>
          <w:rFonts w:ascii="TitilliumWeb-Regular" w:hAnsi="TitilliumWeb-Regular" w:cs="TitilliumWeb-Regular"/>
          <w:i/>
          <w:iCs/>
          <w:sz w:val="26"/>
          <w:szCs w:val="30"/>
        </w:rPr>
        <w:t>era pandemica</w:t>
      </w:r>
      <w:r w:rsidRPr="00CD2216">
        <w:rPr>
          <w:rFonts w:ascii="TitilliumWeb-Regular" w:hAnsi="TitilliumWeb-Regular" w:cs="TitilliumWeb-Regular"/>
          <w:sz w:val="26"/>
          <w:szCs w:val="30"/>
        </w:rPr>
        <w:t>,</w:t>
      </w:r>
      <w:r w:rsidRPr="00CD2216">
        <w:rPr>
          <w:rFonts w:ascii="TitilliumWeb-Regular" w:hAnsi="TitilliumWeb-Regular" w:cs="TitilliumWeb-Regular"/>
          <w:b/>
          <w:bCs/>
          <w:sz w:val="26"/>
          <w:szCs w:val="30"/>
        </w:rPr>
        <w:t xml:space="preserve"> </w:t>
      </w:r>
      <w:r w:rsidRPr="00CD2216">
        <w:rPr>
          <w:rFonts w:ascii="TitilliumWeb-Regular" w:hAnsi="TitilliumWeb-Regular" w:cs="TitilliumWeb-Regular"/>
          <w:sz w:val="26"/>
          <w:szCs w:val="30"/>
        </w:rPr>
        <w:t xml:space="preserve">è messo in sicurezza tramite </w:t>
      </w:r>
      <w:proofErr w:type="spellStart"/>
      <w:r w:rsidRPr="00CD2216">
        <w:rPr>
          <w:rFonts w:ascii="TitilliumWeb-Regular" w:hAnsi="TitilliumWeb-Regular" w:cs="TitilliumWeb-Regular"/>
          <w:b/>
          <w:bCs/>
          <w:sz w:val="26"/>
          <w:szCs w:val="30"/>
        </w:rPr>
        <w:t>GlobalProtect</w:t>
      </w:r>
      <w:proofErr w:type="spellEnd"/>
      <w:r w:rsidRPr="00CD2216">
        <w:rPr>
          <w:rFonts w:ascii="TitilliumWeb-Regular" w:hAnsi="TitilliumWeb-Regular" w:cs="TitilliumWeb-Regular"/>
          <w:b/>
          <w:bCs/>
          <w:sz w:val="26"/>
          <w:szCs w:val="30"/>
        </w:rPr>
        <w:t xml:space="preserve"> </w:t>
      </w:r>
      <w:r w:rsidRPr="00CD2216">
        <w:rPr>
          <w:rFonts w:ascii="TitilliumWeb-Regular" w:hAnsi="TitilliumWeb-Regular" w:cs="TitilliumWeb-Regular"/>
          <w:sz w:val="26"/>
          <w:szCs w:val="30"/>
        </w:rPr>
        <w:t>(VPN Client di Palo Alto</w:t>
      </w:r>
      <w:r w:rsidR="001A4CB4">
        <w:rPr>
          <w:rFonts w:ascii="TitilliumWeb-Regular" w:hAnsi="TitilliumWeb-Regular" w:cs="TitilliumWeb-Regular"/>
          <w:sz w:val="26"/>
          <w:szCs w:val="30"/>
        </w:rPr>
        <w:t>).</w:t>
      </w:r>
    </w:p>
    <w:p w14:paraId="31860E9E" w14:textId="21B0D48D" w:rsidR="00AB4F23"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Completa la parte di Security l’installazione, sugli Endpoint, sui server e sui dispositivi mobili, della soluzione </w:t>
      </w:r>
      <w:r w:rsidRPr="00CD2216">
        <w:rPr>
          <w:rFonts w:ascii="TitilliumWeb-Regular" w:hAnsi="TitilliumWeb-Regular" w:cs="TitilliumWeb-Regular"/>
          <w:b/>
          <w:bCs/>
          <w:sz w:val="26"/>
          <w:szCs w:val="30"/>
        </w:rPr>
        <w:t>antimalware</w:t>
      </w:r>
      <w:r w:rsidRPr="00CD2216">
        <w:rPr>
          <w:rFonts w:ascii="TitilliumWeb-Regular" w:hAnsi="TitilliumWeb-Regular" w:cs="TitilliumWeb-Regular"/>
          <w:sz w:val="26"/>
          <w:szCs w:val="30"/>
        </w:rPr>
        <w:t xml:space="preserve"> </w:t>
      </w:r>
      <w:proofErr w:type="spellStart"/>
      <w:r w:rsidRPr="00CD2216">
        <w:rPr>
          <w:rFonts w:ascii="TitilliumWeb-Regular" w:hAnsi="TitilliumWeb-Regular" w:cs="TitilliumWeb-Regular"/>
          <w:b/>
          <w:bCs/>
          <w:sz w:val="26"/>
          <w:szCs w:val="30"/>
        </w:rPr>
        <w:t>Bitdefender</w:t>
      </w:r>
      <w:proofErr w:type="spellEnd"/>
      <w:r w:rsidRPr="00CD2216">
        <w:rPr>
          <w:rFonts w:ascii="TitilliumWeb-Regular" w:hAnsi="TitilliumWeb-Regular" w:cs="TitilliumWeb-Regular"/>
          <w:b/>
          <w:bCs/>
          <w:sz w:val="26"/>
          <w:szCs w:val="30"/>
        </w:rPr>
        <w:t xml:space="preserve"> Ultra </w:t>
      </w:r>
      <w:r w:rsidRPr="00CD2216">
        <w:rPr>
          <w:rFonts w:ascii="TitilliumWeb-Regular" w:hAnsi="TitilliumWeb-Regular" w:cs="TitilliumWeb-Regular"/>
          <w:sz w:val="26"/>
          <w:szCs w:val="30"/>
        </w:rPr>
        <w:t xml:space="preserve">con modulo EDR ed integrazione del </w:t>
      </w:r>
      <w:r w:rsidRPr="00CD2216">
        <w:rPr>
          <w:rFonts w:ascii="TitilliumWeb-Regular" w:hAnsi="TitilliumWeb-Regular" w:cs="TitilliumWeb-Regular"/>
          <w:b/>
          <w:bCs/>
          <w:sz w:val="26"/>
          <w:szCs w:val="30"/>
        </w:rPr>
        <w:t>Patch</w:t>
      </w:r>
      <w:r w:rsidRPr="00CD2216">
        <w:rPr>
          <w:rFonts w:ascii="TitilliumWeb-Regular" w:hAnsi="TitilliumWeb-Regular" w:cs="TitilliumWeb-Regular"/>
          <w:sz w:val="26"/>
          <w:szCs w:val="30"/>
        </w:rPr>
        <w:t xml:space="preserve"> </w:t>
      </w:r>
      <w:r w:rsidRPr="00CD2216">
        <w:rPr>
          <w:rFonts w:ascii="TitilliumWeb-Regular" w:hAnsi="TitilliumWeb-Regular" w:cs="TitilliumWeb-Regular"/>
          <w:b/>
          <w:bCs/>
          <w:sz w:val="26"/>
          <w:szCs w:val="30"/>
        </w:rPr>
        <w:t>Management</w:t>
      </w:r>
      <w:r w:rsidRPr="00CD2216">
        <w:rPr>
          <w:rFonts w:ascii="TitilliumWeb-Regular" w:hAnsi="TitilliumWeb-Regular" w:cs="TitilliumWeb-Regular"/>
          <w:sz w:val="26"/>
          <w:szCs w:val="30"/>
        </w:rPr>
        <w:t>.</w:t>
      </w:r>
    </w:p>
    <w:p w14:paraId="17D6E331" w14:textId="77777777" w:rsidR="00043970" w:rsidRPr="00CD2216"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p>
    <w:p w14:paraId="7EEBA1BB" w14:textId="263D88AB" w:rsidR="00AB4F23" w:rsidRPr="00AB4F23" w:rsidRDefault="0088544B"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r>
        <w:rPr>
          <w:rFonts w:ascii="TitilliumWeb-Regular" w:hAnsi="TitilliumWeb-Regular" w:cs="TitilliumWeb-Regular"/>
          <w:color w:val="787878"/>
          <w:sz w:val="26"/>
          <w:szCs w:val="30"/>
        </w:rPr>
        <w:pict w14:anchorId="57A52FEC">
          <v:shape id="Immagine 3" o:spid="_x0000_i1025" type="#_x0000_t75" style="width:420pt;height:286.2pt;visibility:visible;mso-wrap-style:square">
            <v:imagedata r:id="rId13" o:title=""/>
          </v:shape>
        </w:pict>
      </w:r>
    </w:p>
    <w:p w14:paraId="30A87713" w14:textId="039798A2" w:rsidR="009B27FE" w:rsidRPr="00AB4F23" w:rsidRDefault="00985740" w:rsidP="00043970">
      <w:pPr>
        <w:widowControl w:val="0"/>
        <w:tabs>
          <w:tab w:val="left" w:pos="220"/>
          <w:tab w:val="left" w:pos="720"/>
        </w:tabs>
        <w:autoSpaceDE w:val="0"/>
        <w:autoSpaceDN w:val="0"/>
        <w:adjustRightInd w:val="0"/>
        <w:ind w:right="134"/>
        <w:rPr>
          <w:rFonts w:ascii="TitilliumWeb-Regular" w:hAnsi="TitilliumWeb-Regular" w:cs="TitilliumWeb-Regular"/>
          <w:color w:val="787878"/>
          <w:sz w:val="26"/>
          <w:szCs w:val="30"/>
        </w:rPr>
      </w:pPr>
      <w:r>
        <w:rPr>
          <w:rFonts w:ascii="TitilliumWeb-Regular" w:hAnsi="TitilliumWeb-Regular" w:cs="TitilliumWeb-Regular"/>
          <w:color w:val="787878"/>
          <w:sz w:val="26"/>
          <w:szCs w:val="30"/>
        </w:rPr>
        <w:br w:type="page"/>
      </w:r>
      <w:r w:rsidR="009B27FE" w:rsidRPr="00AB4F23">
        <w:rPr>
          <w:rFonts w:ascii="TitilliumWeb-Regular" w:hAnsi="TitilliumWeb-Regular" w:cs="TitilliumWeb-Regular"/>
          <w:color w:val="787878"/>
          <w:sz w:val="26"/>
          <w:szCs w:val="30"/>
        </w:rPr>
        <w:lastRenderedPageBreak/>
        <w:t>Descrizione del progetto di implementazione - complessità, tempi, aspetti organizzativi, costi, ecc.</w:t>
      </w:r>
    </w:p>
    <w:p w14:paraId="24DE3AB0" w14:textId="7DFB5B2D" w:rsidR="00043970" w:rsidRPr="00043970"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Il progetto, che nel corso degli ultimi </w:t>
      </w:r>
      <w:r w:rsidRPr="00043970">
        <w:rPr>
          <w:rFonts w:ascii="TitilliumWeb-Regular" w:hAnsi="TitilliumWeb-Regular" w:cs="TitilliumWeb-Regular"/>
          <w:b/>
          <w:bCs/>
          <w:sz w:val="26"/>
          <w:szCs w:val="30"/>
        </w:rPr>
        <w:t xml:space="preserve">due anni </w:t>
      </w:r>
      <w:r w:rsidRPr="00043970">
        <w:rPr>
          <w:rFonts w:ascii="TitilliumWeb-Regular" w:hAnsi="TitilliumWeb-Regular" w:cs="TitilliumWeb-Regular"/>
          <w:sz w:val="26"/>
          <w:szCs w:val="30"/>
        </w:rPr>
        <w:t xml:space="preserve">ha indirizzato notevoli investimenti in ottica di innovazione continua, ha coinvolto numerose </w:t>
      </w:r>
      <w:r w:rsidRPr="00043970">
        <w:rPr>
          <w:rFonts w:ascii="TitilliumWeb-Regular" w:hAnsi="TitilliumWeb-Regular" w:cs="TitilliumWeb-Regular"/>
          <w:b/>
          <w:bCs/>
          <w:sz w:val="26"/>
          <w:szCs w:val="30"/>
        </w:rPr>
        <w:t>figure professionali coordinate da VM Sistemi</w:t>
      </w:r>
      <w:r w:rsidRPr="00043970">
        <w:rPr>
          <w:rFonts w:ascii="TitilliumWeb-Regular" w:hAnsi="TitilliumWeb-Regular" w:cs="TitilliumWeb-Regular"/>
          <w:sz w:val="26"/>
          <w:szCs w:val="30"/>
        </w:rPr>
        <w:t xml:space="preserve">, per coprire i vari ambiti di intervento, oltre alla </w:t>
      </w:r>
      <w:r w:rsidRPr="00043970">
        <w:rPr>
          <w:rFonts w:ascii="TitilliumWeb-Regular" w:hAnsi="TitilliumWeb-Regular" w:cs="TitilliumWeb-Regular"/>
          <w:b/>
          <w:bCs/>
          <w:sz w:val="26"/>
          <w:szCs w:val="30"/>
        </w:rPr>
        <w:t>partecipazione attiva di tutte le risorse IT d</w:t>
      </w:r>
      <w:r>
        <w:rPr>
          <w:rFonts w:ascii="TitilliumWeb-Regular" w:hAnsi="TitilliumWeb-Regular" w:cs="TitilliumWeb-Regular"/>
          <w:b/>
          <w:bCs/>
          <w:sz w:val="26"/>
          <w:szCs w:val="30"/>
        </w:rPr>
        <w:t>el Gruppo</w:t>
      </w:r>
      <w:r w:rsidRPr="00043970">
        <w:rPr>
          <w:rFonts w:ascii="TitilliumWeb-Regular" w:hAnsi="TitilliumWeb-Regular" w:cs="TitilliumWeb-Regular"/>
          <w:b/>
          <w:bCs/>
          <w:sz w:val="26"/>
          <w:szCs w:val="30"/>
        </w:rPr>
        <w:t xml:space="preserve"> TAMPIERI</w:t>
      </w:r>
      <w:r w:rsidRPr="00043970">
        <w:rPr>
          <w:rFonts w:ascii="TitilliumWeb-Regular" w:hAnsi="TitilliumWeb-Regular" w:cs="TitilliumWeb-Regular"/>
          <w:sz w:val="26"/>
          <w:szCs w:val="30"/>
        </w:rPr>
        <w:t xml:space="preserve">. </w:t>
      </w:r>
    </w:p>
    <w:p w14:paraId="7C7E41E2" w14:textId="77777777" w:rsidR="00043970" w:rsidRPr="00043970"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La nuova </w:t>
      </w:r>
      <w:r w:rsidRPr="00043970">
        <w:rPr>
          <w:rFonts w:ascii="TitilliumWeb-Regular" w:hAnsi="TitilliumWeb-Regular" w:cs="TitilliumWeb-Regular"/>
          <w:b/>
          <w:bCs/>
          <w:sz w:val="26"/>
          <w:szCs w:val="30"/>
        </w:rPr>
        <w:t>architettura virtualizzata su Power</w:t>
      </w:r>
      <w:r w:rsidRPr="00043970">
        <w:rPr>
          <w:rFonts w:ascii="TitilliumWeb-Regular" w:hAnsi="TitilliumWeb-Regular" w:cs="TitilliumWeb-Regular"/>
          <w:sz w:val="26"/>
          <w:szCs w:val="30"/>
        </w:rPr>
        <w:t xml:space="preserve">, creata sia per ospitare i nuovi ambienti </w:t>
      </w:r>
      <w:r w:rsidRPr="00043970">
        <w:rPr>
          <w:rFonts w:ascii="TitilliumWeb-Regular" w:hAnsi="TitilliumWeb-Regular" w:cs="TitilliumWeb-Regular"/>
          <w:b/>
          <w:bCs/>
          <w:sz w:val="26"/>
          <w:szCs w:val="30"/>
        </w:rPr>
        <w:t>LINUX</w:t>
      </w:r>
      <w:r w:rsidRPr="00043970">
        <w:rPr>
          <w:rFonts w:ascii="TitilliumWeb-Regular" w:hAnsi="TitilliumWeb-Regular" w:cs="TitilliumWeb-Regular"/>
          <w:sz w:val="26"/>
          <w:szCs w:val="30"/>
        </w:rPr>
        <w:t xml:space="preserve"> </w:t>
      </w:r>
      <w:r w:rsidRPr="00043970">
        <w:rPr>
          <w:rFonts w:ascii="TitilliumWeb-Regular" w:hAnsi="TitilliumWeb-Regular" w:cs="TitilliumWeb-Regular"/>
          <w:b/>
          <w:bCs/>
          <w:sz w:val="26"/>
          <w:szCs w:val="30"/>
        </w:rPr>
        <w:t>per</w:t>
      </w:r>
      <w:r w:rsidRPr="00043970">
        <w:rPr>
          <w:rFonts w:ascii="TitilliumWeb-Regular" w:hAnsi="TitilliumWeb-Regular" w:cs="TitilliumWeb-Regular"/>
          <w:sz w:val="26"/>
          <w:szCs w:val="30"/>
        </w:rPr>
        <w:t xml:space="preserve"> </w:t>
      </w:r>
      <w:r w:rsidRPr="00043970">
        <w:rPr>
          <w:rFonts w:ascii="TitilliumWeb-Regular" w:hAnsi="TitilliumWeb-Regular" w:cs="TitilliumWeb-Regular"/>
          <w:b/>
          <w:bCs/>
          <w:sz w:val="26"/>
          <w:szCs w:val="30"/>
        </w:rPr>
        <w:t>SAP HANA</w:t>
      </w:r>
      <w:r w:rsidRPr="00043970">
        <w:rPr>
          <w:rFonts w:ascii="TitilliumWeb-Regular" w:hAnsi="TitilliumWeb-Regular" w:cs="TitilliumWeb-Regular"/>
          <w:sz w:val="26"/>
          <w:szCs w:val="30"/>
        </w:rPr>
        <w:t xml:space="preserve">, che le applicazioni legacy tradizionali </w:t>
      </w:r>
      <w:r w:rsidRPr="00043970">
        <w:rPr>
          <w:rFonts w:ascii="TitilliumWeb-Regular" w:hAnsi="TitilliumWeb-Regular" w:cs="TitilliumWeb-Regular"/>
          <w:b/>
          <w:bCs/>
          <w:sz w:val="26"/>
          <w:szCs w:val="30"/>
        </w:rPr>
        <w:t>IBM i</w:t>
      </w:r>
      <w:r w:rsidRPr="00043970">
        <w:rPr>
          <w:rFonts w:ascii="TitilliumWeb-Regular" w:hAnsi="TitilliumWeb-Regular" w:cs="TitilliumWeb-Regular"/>
          <w:sz w:val="26"/>
          <w:szCs w:val="30"/>
        </w:rPr>
        <w:t xml:space="preserve">, è stata installata e sottoposta a diversi test di funzionamento e di affidabilità. </w:t>
      </w:r>
    </w:p>
    <w:p w14:paraId="631A5DB3" w14:textId="77777777" w:rsidR="00043970" w:rsidRPr="00043970" w:rsidRDefault="00043970"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Parallelamente al rinnovamento dell’architettura virtualizzata, si è sviluppato il progetto del </w:t>
      </w:r>
      <w:r w:rsidRPr="00043970">
        <w:rPr>
          <w:rFonts w:ascii="TitilliumWeb-Regular" w:hAnsi="TitilliumWeb-Regular" w:cs="TitilliumWeb-Regular"/>
          <w:b/>
          <w:bCs/>
          <w:sz w:val="26"/>
          <w:szCs w:val="30"/>
        </w:rPr>
        <w:t>rafforzamento della Sicurezza IT</w:t>
      </w:r>
      <w:r w:rsidRPr="00043970">
        <w:rPr>
          <w:rFonts w:ascii="TitilliumWeb-Regular" w:hAnsi="TitilliumWeb-Regular" w:cs="TitilliumWeb-Regular"/>
          <w:sz w:val="26"/>
          <w:szCs w:val="30"/>
        </w:rPr>
        <w:t>:</w:t>
      </w:r>
    </w:p>
    <w:p w14:paraId="05899378" w14:textId="416767D5" w:rsidR="00043970" w:rsidRPr="00043970" w:rsidRDefault="00043970" w:rsidP="00043970">
      <w:pPr>
        <w:widowControl w:val="0"/>
        <w:numPr>
          <w:ilvl w:val="0"/>
          <w:numId w:val="6"/>
        </w:numPr>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sostituiti i precedenti Firewall con la soluzione </w:t>
      </w:r>
      <w:r w:rsidRPr="00043970">
        <w:rPr>
          <w:rFonts w:ascii="TitilliumWeb-Regular" w:hAnsi="TitilliumWeb-Regular" w:cs="TitilliumWeb-Regular"/>
          <w:b/>
          <w:bCs/>
          <w:sz w:val="26"/>
          <w:szCs w:val="30"/>
        </w:rPr>
        <w:t>NGFW</w:t>
      </w:r>
      <w:r w:rsidRPr="00043970">
        <w:rPr>
          <w:rFonts w:ascii="TitilliumWeb-Regular" w:hAnsi="TitilliumWeb-Regular" w:cs="TitilliumWeb-Regular"/>
          <w:sz w:val="26"/>
          <w:szCs w:val="30"/>
        </w:rPr>
        <w:t xml:space="preserve"> e progressivamente sono state aggiunte policy più puntuali, fino ad arrivare al controllo del </w:t>
      </w:r>
      <w:r w:rsidRPr="00043970">
        <w:rPr>
          <w:rFonts w:ascii="TitilliumWeb-Regular" w:hAnsi="TitilliumWeb-Regular" w:cs="TitilliumWeb-Regular"/>
          <w:b/>
          <w:bCs/>
          <w:sz w:val="26"/>
          <w:szCs w:val="30"/>
        </w:rPr>
        <w:t xml:space="preserve">traffico applicativo «Layer7» </w:t>
      </w:r>
      <w:r w:rsidRPr="00043970">
        <w:rPr>
          <w:rFonts w:ascii="TitilliumWeb-Regular" w:hAnsi="TitilliumWeb-Regular" w:cs="TitilliumWeb-Regular"/>
          <w:sz w:val="26"/>
          <w:szCs w:val="30"/>
        </w:rPr>
        <w:t>per gruppi di utenti AD;</w:t>
      </w:r>
    </w:p>
    <w:p w14:paraId="09EB043D" w14:textId="370725F4" w:rsidR="00043970" w:rsidRPr="00043970" w:rsidRDefault="00043970" w:rsidP="00043970">
      <w:pPr>
        <w:widowControl w:val="0"/>
        <w:numPr>
          <w:ilvl w:val="0"/>
          <w:numId w:val="6"/>
        </w:numPr>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aggiunta la </w:t>
      </w:r>
      <w:r w:rsidRPr="00043970">
        <w:rPr>
          <w:rFonts w:ascii="TitilliumWeb-Regular" w:hAnsi="TitilliumWeb-Regular" w:cs="TitilliumWeb-Regular"/>
          <w:b/>
          <w:bCs/>
          <w:sz w:val="26"/>
          <w:szCs w:val="30"/>
        </w:rPr>
        <w:t>soluzione SIEM IBM QRadar</w:t>
      </w:r>
      <w:r w:rsidRPr="00043970">
        <w:rPr>
          <w:rFonts w:ascii="TitilliumWeb-Regular" w:hAnsi="TitilliumWeb-Regular" w:cs="TitilliumWeb-Regular"/>
          <w:sz w:val="26"/>
          <w:szCs w:val="30"/>
        </w:rPr>
        <w:t xml:space="preserve">, che tramite un </w:t>
      </w:r>
      <w:r w:rsidRPr="00043970">
        <w:rPr>
          <w:rFonts w:ascii="TitilliumWeb-Regular" w:hAnsi="TitilliumWeb-Regular" w:cs="TitilliumWeb-Regular"/>
          <w:b/>
          <w:bCs/>
          <w:sz w:val="26"/>
          <w:szCs w:val="30"/>
        </w:rPr>
        <w:t xml:space="preserve">fine tuning </w:t>
      </w:r>
      <w:r w:rsidRPr="00043970">
        <w:rPr>
          <w:rFonts w:ascii="TitilliumWeb-Regular" w:hAnsi="TitilliumWeb-Regular" w:cs="TitilliumWeb-Regular"/>
          <w:sz w:val="26"/>
          <w:szCs w:val="30"/>
        </w:rPr>
        <w:t>ha permesso di ottimizzare le indicazioni ricevute ed implementare l’automazione del popolamento di alcune regole di blocco sui Firewall;</w:t>
      </w:r>
    </w:p>
    <w:p w14:paraId="180E60FE" w14:textId="2847D7BC" w:rsidR="00043970" w:rsidRPr="00043970" w:rsidRDefault="00043970" w:rsidP="00043970">
      <w:pPr>
        <w:widowControl w:val="0"/>
        <w:numPr>
          <w:ilvl w:val="0"/>
          <w:numId w:val="6"/>
        </w:numPr>
        <w:tabs>
          <w:tab w:val="left" w:pos="220"/>
          <w:tab w:val="left" w:pos="720"/>
        </w:tabs>
        <w:autoSpaceDE w:val="0"/>
        <w:autoSpaceDN w:val="0"/>
        <w:adjustRightInd w:val="0"/>
        <w:rPr>
          <w:rFonts w:ascii="TitilliumWeb-Regular" w:hAnsi="TitilliumWeb-Regular" w:cs="TitilliumWeb-Regular"/>
          <w:sz w:val="26"/>
          <w:szCs w:val="30"/>
        </w:rPr>
      </w:pPr>
      <w:r w:rsidRPr="00043970">
        <w:rPr>
          <w:rFonts w:ascii="TitilliumWeb-Regular" w:hAnsi="TitilliumWeb-Regular" w:cs="TitilliumWeb-Regular"/>
          <w:sz w:val="26"/>
          <w:szCs w:val="30"/>
        </w:rPr>
        <w:t xml:space="preserve">implementato un nuovo </w:t>
      </w:r>
      <w:r w:rsidRPr="00043970">
        <w:rPr>
          <w:rFonts w:ascii="TitilliumWeb-Regular" w:hAnsi="TitilliumWeb-Regular" w:cs="TitilliumWeb-Regular"/>
          <w:b/>
          <w:bCs/>
          <w:sz w:val="26"/>
          <w:szCs w:val="30"/>
        </w:rPr>
        <w:t>sistema antimalware centralizzato</w:t>
      </w:r>
      <w:r w:rsidRPr="00043970">
        <w:rPr>
          <w:rFonts w:ascii="TitilliumWeb-Regular" w:hAnsi="TitilliumWeb-Regular" w:cs="TitilliumWeb-Regular"/>
          <w:sz w:val="26"/>
          <w:szCs w:val="30"/>
        </w:rPr>
        <w:t xml:space="preserve">, con funzionalità </w:t>
      </w:r>
      <w:r w:rsidRPr="00043970">
        <w:rPr>
          <w:rFonts w:ascii="TitilliumWeb-Regular" w:hAnsi="TitilliumWeb-Regular" w:cs="TitilliumWeb-Regular"/>
          <w:b/>
          <w:bCs/>
          <w:sz w:val="26"/>
          <w:szCs w:val="30"/>
        </w:rPr>
        <w:t>EDR</w:t>
      </w:r>
      <w:r w:rsidRPr="00043970">
        <w:rPr>
          <w:rFonts w:ascii="TitilliumWeb-Regular" w:hAnsi="TitilliumWeb-Regular" w:cs="TitilliumWeb-Regular"/>
          <w:sz w:val="26"/>
          <w:szCs w:val="30"/>
        </w:rPr>
        <w:t xml:space="preserve"> e </w:t>
      </w:r>
      <w:r w:rsidRPr="00043970">
        <w:rPr>
          <w:rFonts w:ascii="TitilliumWeb-Regular" w:hAnsi="TitilliumWeb-Regular" w:cs="TitilliumWeb-Regular"/>
          <w:b/>
          <w:bCs/>
          <w:sz w:val="26"/>
          <w:szCs w:val="30"/>
        </w:rPr>
        <w:t>Patch Management</w:t>
      </w:r>
      <w:r w:rsidRPr="00043970">
        <w:rPr>
          <w:rFonts w:ascii="TitilliumWeb-Regular" w:hAnsi="TitilliumWeb-Regular" w:cs="TitilliumWeb-Regular"/>
          <w:sz w:val="26"/>
          <w:szCs w:val="30"/>
        </w:rPr>
        <w:t>.</w:t>
      </w:r>
    </w:p>
    <w:p w14:paraId="3FFBA145"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04C2F39D" w14:textId="77777777" w:rsidR="00AB4F23" w:rsidRDefault="009B27FE"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r w:rsidRPr="00AB4F23">
        <w:rPr>
          <w:rFonts w:ascii="TitilliumWeb-Regular" w:hAnsi="TitilliumWeb-Regular" w:cs="TitilliumWeb-Regular"/>
          <w:color w:val="787878"/>
          <w:sz w:val="26"/>
          <w:szCs w:val="30"/>
        </w:rPr>
        <w:t>Descrizione dei principali benefici raggiunti dall’azienda o pubblica amministrazione utente.</w:t>
      </w:r>
    </w:p>
    <w:p w14:paraId="0A616363" w14:textId="22E059EC"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b/>
          <w:bCs/>
          <w:sz w:val="26"/>
          <w:szCs w:val="30"/>
        </w:rPr>
        <w:t>Soluzione ICT Infrastructure: Business Continuity anche in casi estremi</w:t>
      </w:r>
    </w:p>
    <w:p w14:paraId="31A6BB3B" w14:textId="1B1206DC" w:rsidR="00CD2216" w:rsidRPr="00CD2216" w:rsidRDefault="0088544B"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Pr>
          <w:noProof/>
        </w:rPr>
        <w:pict w14:anchorId="7F1D1DED">
          <v:shape id="Picture 3" o:spid="_x0000_s1098" type="#_x0000_t75" alt="Infografica SAP Hana on Power: la forza di IBM a supporto dell'affidabilità  di SAP - VM Sistemi" style="position:absolute;margin-left:382.85pt;margin-top:8.75pt;width:99.6pt;height:9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4" o:title=" la forza di IBM a supporto dell'affidabilità  di SAP - VM Sistemi" cropleft="10138f" cropright="8973f"/>
            <w10:wrap type="square"/>
          </v:shape>
        </w:pict>
      </w:r>
      <w:r w:rsidR="00CD2216" w:rsidRPr="00CD2216">
        <w:rPr>
          <w:rFonts w:ascii="TitilliumWeb-Regular" w:hAnsi="TitilliumWeb-Regular" w:cs="TitilliumWeb-Regular"/>
          <w:sz w:val="26"/>
          <w:szCs w:val="30"/>
        </w:rPr>
        <w:t>Garanzia della continuità operativa anche nell’evento di perdita completa di una sala macchine:</w:t>
      </w:r>
    </w:p>
    <w:p w14:paraId="6469A42B" w14:textId="77777777" w:rsidR="00CD2216" w:rsidRPr="00CD2216" w:rsidRDefault="00CD2216" w:rsidP="00043970">
      <w:pPr>
        <w:widowControl w:val="0"/>
        <w:numPr>
          <w:ilvl w:val="0"/>
          <w:numId w:val="4"/>
        </w:numPr>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Connettività fra i siti collegati attraverso una rete ethernet con banda ad alta velocità e bassa latenza</w:t>
      </w:r>
    </w:p>
    <w:p w14:paraId="43CBE860" w14:textId="541B3E14" w:rsidR="00CD2216" w:rsidRPr="00CD2216" w:rsidRDefault="00CD2216" w:rsidP="00043970">
      <w:pPr>
        <w:widowControl w:val="0"/>
        <w:numPr>
          <w:ilvl w:val="0"/>
          <w:numId w:val="4"/>
        </w:numPr>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Soluzione SAP HANA System Replication + cluster LINUX SUSE per la componente S/4 HANA di Produzione</w:t>
      </w:r>
    </w:p>
    <w:p w14:paraId="009E9427" w14:textId="77777777" w:rsidR="00CD2216" w:rsidRPr="00CD2216" w:rsidRDefault="00CD2216" w:rsidP="00043970">
      <w:pPr>
        <w:widowControl w:val="0"/>
        <w:numPr>
          <w:ilvl w:val="0"/>
          <w:numId w:val="4"/>
        </w:numPr>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Soluzione di resilienza per dati e applicazioni con </w:t>
      </w:r>
      <w:r w:rsidRPr="00CD2216">
        <w:rPr>
          <w:rFonts w:ascii="TitilliumWeb-Regular" w:hAnsi="TitilliumWeb-Regular" w:cs="TitilliumWeb-Regular"/>
          <w:b/>
          <w:bCs/>
          <w:sz w:val="26"/>
          <w:szCs w:val="30"/>
        </w:rPr>
        <w:t xml:space="preserve">IBM </w:t>
      </w:r>
      <w:proofErr w:type="spellStart"/>
      <w:r w:rsidRPr="00CD2216">
        <w:rPr>
          <w:rFonts w:ascii="TitilliumWeb-Regular" w:hAnsi="TitilliumWeb-Regular" w:cs="TitilliumWeb-Regular"/>
          <w:b/>
          <w:bCs/>
          <w:sz w:val="26"/>
          <w:szCs w:val="30"/>
        </w:rPr>
        <w:t>PowerHA</w:t>
      </w:r>
      <w:proofErr w:type="spellEnd"/>
      <w:r w:rsidRPr="00CD2216">
        <w:rPr>
          <w:rFonts w:ascii="TitilliumWeb-Regular" w:hAnsi="TitilliumWeb-Regular" w:cs="TitilliumWeb-Regular"/>
          <w:b/>
          <w:bCs/>
          <w:sz w:val="26"/>
          <w:szCs w:val="30"/>
        </w:rPr>
        <w:t xml:space="preserve"> </w:t>
      </w:r>
      <w:proofErr w:type="spellStart"/>
      <w:r w:rsidRPr="00CD2216">
        <w:rPr>
          <w:rFonts w:ascii="TitilliumWeb-Regular" w:hAnsi="TitilliumWeb-Regular" w:cs="TitilliumWeb-Regular"/>
          <w:b/>
          <w:bCs/>
          <w:sz w:val="26"/>
          <w:szCs w:val="30"/>
        </w:rPr>
        <w:t>SystemMirror</w:t>
      </w:r>
      <w:proofErr w:type="spellEnd"/>
      <w:r w:rsidRPr="00CD2216">
        <w:rPr>
          <w:rFonts w:ascii="TitilliumWeb-Regular" w:hAnsi="TitilliumWeb-Regular" w:cs="TitilliumWeb-Regular"/>
          <w:b/>
          <w:bCs/>
          <w:sz w:val="26"/>
          <w:szCs w:val="30"/>
        </w:rPr>
        <w:t xml:space="preserve"> for i Enterprise Edition</w:t>
      </w:r>
      <w:r w:rsidRPr="00CD2216">
        <w:rPr>
          <w:rFonts w:ascii="TitilliumWeb-Regular" w:hAnsi="TitilliumWeb-Regular" w:cs="TitilliumWeb-Regular"/>
          <w:sz w:val="26"/>
          <w:szCs w:val="30"/>
        </w:rPr>
        <w:t xml:space="preserve">. Integrazione a livello del Sistema operativo IBM I, attraverso </w:t>
      </w:r>
      <w:r w:rsidRPr="00CD2216">
        <w:rPr>
          <w:rFonts w:ascii="TitilliumWeb-Regular" w:hAnsi="TitilliumWeb-Regular" w:cs="TitilliumWeb-Regular"/>
          <w:i/>
          <w:iCs/>
          <w:sz w:val="26"/>
          <w:szCs w:val="30"/>
        </w:rPr>
        <w:t>Geographic mirroring</w:t>
      </w:r>
      <w:r w:rsidRPr="00CD2216">
        <w:rPr>
          <w:rFonts w:ascii="TitilliumWeb-Regular" w:hAnsi="TitilliumWeb-Regular" w:cs="TitilliumWeb-Regular"/>
          <w:sz w:val="26"/>
          <w:szCs w:val="30"/>
        </w:rPr>
        <w:t>, la quale consente una replica page-</w:t>
      </w:r>
      <w:proofErr w:type="spellStart"/>
      <w:r w:rsidRPr="00CD2216">
        <w:rPr>
          <w:rFonts w:ascii="TitilliumWeb-Regular" w:hAnsi="TitilliumWeb-Regular" w:cs="TitilliumWeb-Regular"/>
          <w:sz w:val="26"/>
          <w:szCs w:val="30"/>
        </w:rPr>
        <w:t>level</w:t>
      </w:r>
      <w:proofErr w:type="spellEnd"/>
      <w:r w:rsidRPr="00CD2216">
        <w:rPr>
          <w:rFonts w:ascii="TitilliumWeb-Regular" w:hAnsi="TitilliumWeb-Regular" w:cs="TitilliumWeb-Regular"/>
          <w:sz w:val="26"/>
          <w:szCs w:val="30"/>
        </w:rPr>
        <w:t xml:space="preserve"> indipendentemente dalla soluzione storage adottata.</w:t>
      </w:r>
    </w:p>
    <w:p w14:paraId="46087BF7"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4E8899D5"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698257D1"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486FEC27" w14:textId="77777777" w:rsid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08C37E58" w14:textId="77777777" w:rsidR="00AB4F23" w:rsidRPr="00AB4F23" w:rsidRDefault="00AB4F23"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4ED2B834" w14:textId="491795C1" w:rsidR="00F07589" w:rsidRDefault="001A4CB4" w:rsidP="00043970">
      <w:pPr>
        <w:widowControl w:val="0"/>
        <w:tabs>
          <w:tab w:val="left" w:pos="220"/>
          <w:tab w:val="left" w:pos="720"/>
        </w:tabs>
        <w:autoSpaceDE w:val="0"/>
        <w:autoSpaceDN w:val="0"/>
        <w:adjustRightInd w:val="0"/>
        <w:ind w:right="134"/>
        <w:rPr>
          <w:rFonts w:ascii="TitilliumWeb-Regular" w:hAnsi="TitilliumWeb-Regular" w:cs="TitilliumWeb-Regular"/>
          <w:color w:val="787878"/>
          <w:sz w:val="26"/>
          <w:szCs w:val="30"/>
        </w:rPr>
      </w:pPr>
      <w:r>
        <w:rPr>
          <w:rFonts w:ascii="TitilliumWeb-Regular" w:hAnsi="TitilliumWeb-Regular" w:cs="TitilliumWeb-Regular"/>
          <w:color w:val="787878"/>
          <w:sz w:val="26"/>
          <w:szCs w:val="30"/>
        </w:rPr>
        <w:br w:type="page"/>
      </w:r>
      <w:r w:rsidR="009B27FE" w:rsidRPr="00AB4F23">
        <w:rPr>
          <w:rFonts w:ascii="TitilliumWeb-Regular" w:hAnsi="TitilliumWeb-Regular" w:cs="TitilliumWeb-Regular"/>
          <w:color w:val="787878"/>
          <w:sz w:val="26"/>
          <w:szCs w:val="30"/>
        </w:rPr>
        <w:lastRenderedPageBreak/>
        <w:t>Descrizione degli elementi distintivi e di reale innovatività/originalità della soluzione, anche con riferimento a soluzioni «concorrenti».</w:t>
      </w:r>
    </w:p>
    <w:p w14:paraId="1AF96766" w14:textId="6D006D39" w:rsidR="00CD2216" w:rsidRDefault="00CD2216"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30B752E2" w14:textId="23F56A6C"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b/>
          <w:bCs/>
          <w:sz w:val="26"/>
          <w:szCs w:val="30"/>
        </w:rPr>
      </w:pPr>
      <w:r w:rsidRPr="00CD2216">
        <w:rPr>
          <w:rFonts w:ascii="TitilliumWeb-Regular" w:hAnsi="TitilliumWeb-Regular" w:cs="TitilliumWeb-Regular"/>
          <w:b/>
          <w:bCs/>
          <w:sz w:val="26"/>
          <w:szCs w:val="30"/>
        </w:rPr>
        <w:t>Soluzione ICT Security: l’innovazione è rappresentata da nuovo dispositivo (astratto) di sicurezza, generato dalla sinergia fra le soluzioni Firewall e SIEM</w:t>
      </w:r>
    </w:p>
    <w:p w14:paraId="76689ADF" w14:textId="3429695F"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Durante la fase successiva al setup, ovvero quella del fine tuning, fra i miliardi di eventi loggati al giorno, è stato rilevato </w:t>
      </w:r>
      <w:r w:rsidRPr="00CD2216">
        <w:rPr>
          <w:rFonts w:ascii="TitilliumWeb-Regular" w:hAnsi="TitilliumWeb-Regular" w:cs="TitilliumWeb-Regular"/>
          <w:b/>
          <w:bCs/>
          <w:sz w:val="26"/>
          <w:szCs w:val="30"/>
        </w:rPr>
        <w:t>traffico anomalo</w:t>
      </w:r>
      <w:r w:rsidRPr="00CD2216">
        <w:rPr>
          <w:rFonts w:ascii="TitilliumWeb-Regular" w:hAnsi="TitilliumWeb-Regular" w:cs="TitilliumWeb-Regular"/>
          <w:sz w:val="26"/>
          <w:szCs w:val="30"/>
        </w:rPr>
        <w:t xml:space="preserve">, proveniente da fonti con </w:t>
      </w:r>
      <w:r w:rsidRPr="00CD2216">
        <w:rPr>
          <w:rFonts w:ascii="TitilliumWeb-Regular" w:hAnsi="TitilliumWeb-Regular" w:cs="TitilliumWeb-Regular"/>
          <w:b/>
          <w:bCs/>
          <w:sz w:val="26"/>
          <w:szCs w:val="30"/>
        </w:rPr>
        <w:t xml:space="preserve">buona </w:t>
      </w:r>
      <w:proofErr w:type="spellStart"/>
      <w:r w:rsidRPr="00CD2216">
        <w:rPr>
          <w:rFonts w:ascii="TitilliumWeb-Regular" w:hAnsi="TitilliumWeb-Regular" w:cs="TitilliumWeb-Regular"/>
          <w:b/>
          <w:bCs/>
          <w:sz w:val="26"/>
          <w:szCs w:val="30"/>
        </w:rPr>
        <w:t>reputation</w:t>
      </w:r>
      <w:proofErr w:type="spellEnd"/>
      <w:r w:rsidRPr="00CD2216">
        <w:rPr>
          <w:rFonts w:ascii="TitilliumWeb-Regular" w:hAnsi="TitilliumWeb-Regular" w:cs="TitilliumWeb-Regular"/>
          <w:sz w:val="26"/>
          <w:szCs w:val="30"/>
        </w:rPr>
        <w:t xml:space="preserve">, che però generavano traffico molto particolare, perché associato ad </w:t>
      </w:r>
      <w:r w:rsidRPr="00CD2216">
        <w:rPr>
          <w:rFonts w:ascii="TitilliumWeb-Regular" w:hAnsi="TitilliumWeb-Regular" w:cs="TitilliumWeb-Regular"/>
          <w:b/>
          <w:bCs/>
          <w:sz w:val="26"/>
          <w:szCs w:val="30"/>
        </w:rPr>
        <w:t xml:space="preserve">indagini </w:t>
      </w:r>
      <w:proofErr w:type="spellStart"/>
      <w:r w:rsidRPr="00CD2216">
        <w:rPr>
          <w:rFonts w:ascii="TitilliumWeb-Regular" w:hAnsi="TitilliumWeb-Regular" w:cs="TitilliumWeb-Regular"/>
          <w:b/>
          <w:bCs/>
          <w:sz w:val="26"/>
          <w:szCs w:val="30"/>
        </w:rPr>
        <w:t>fingerprinting</w:t>
      </w:r>
      <w:proofErr w:type="spellEnd"/>
      <w:r w:rsidRPr="00CD2216">
        <w:rPr>
          <w:rFonts w:ascii="TitilliumWeb-Regular" w:hAnsi="TitilliumWeb-Regular" w:cs="TitilliumWeb-Regular"/>
          <w:b/>
          <w:bCs/>
          <w:sz w:val="26"/>
          <w:szCs w:val="30"/>
        </w:rPr>
        <w:t xml:space="preserve"> / </w:t>
      </w:r>
      <w:proofErr w:type="spellStart"/>
      <w:r w:rsidRPr="00CD2216">
        <w:rPr>
          <w:rFonts w:ascii="TitilliumWeb-Regular" w:hAnsi="TitilliumWeb-Regular" w:cs="TitilliumWeb-Regular"/>
          <w:b/>
          <w:bCs/>
          <w:sz w:val="26"/>
          <w:szCs w:val="30"/>
        </w:rPr>
        <w:t>reconaissance</w:t>
      </w:r>
      <w:proofErr w:type="spellEnd"/>
      <w:r w:rsidRPr="00CD2216">
        <w:rPr>
          <w:rFonts w:ascii="TitilliumWeb-Regular" w:hAnsi="TitilliumWeb-Regular" w:cs="TitilliumWeb-Regular"/>
          <w:sz w:val="26"/>
          <w:szCs w:val="30"/>
        </w:rPr>
        <w:t>,</w:t>
      </w:r>
      <w:r w:rsidRPr="00CD2216">
        <w:rPr>
          <w:rFonts w:ascii="TitilliumWeb-Regular" w:hAnsi="TitilliumWeb-Regular" w:cs="TitilliumWeb-Regular"/>
          <w:b/>
          <w:bCs/>
          <w:sz w:val="26"/>
          <w:szCs w:val="30"/>
        </w:rPr>
        <w:t xml:space="preserve"> </w:t>
      </w:r>
      <w:r w:rsidRPr="00CD2216">
        <w:rPr>
          <w:rFonts w:ascii="TitilliumWeb-Regular" w:hAnsi="TitilliumWeb-Regular" w:cs="TitilliumWeb-Regular"/>
          <w:sz w:val="26"/>
          <w:szCs w:val="30"/>
        </w:rPr>
        <w:t xml:space="preserve">attività eseguite normalmente dagli attaccanti per individuare possibili obiettivi. </w:t>
      </w:r>
    </w:p>
    <w:p w14:paraId="260A5B0B" w14:textId="7777777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sz w:val="26"/>
          <w:szCs w:val="30"/>
        </w:rPr>
        <w:t xml:space="preserve">Per rispondere a questa criticità, seguendo la volontà del Cliente di sfruttare le potenzialità di interazione della soluzione </w:t>
      </w:r>
      <w:proofErr w:type="spellStart"/>
      <w:r w:rsidRPr="00CD2216">
        <w:rPr>
          <w:rFonts w:ascii="TitilliumWeb-Regular" w:hAnsi="TitilliumWeb-Regular" w:cs="TitilliumWeb-Regular"/>
          <w:sz w:val="26"/>
          <w:szCs w:val="30"/>
        </w:rPr>
        <w:t>iperintegrata</w:t>
      </w:r>
      <w:proofErr w:type="spellEnd"/>
      <w:r w:rsidRPr="00CD2216">
        <w:rPr>
          <w:rFonts w:ascii="TitilliumWeb-Regular" w:hAnsi="TitilliumWeb-Regular" w:cs="TitilliumWeb-Regular"/>
          <w:sz w:val="26"/>
          <w:szCs w:val="30"/>
        </w:rPr>
        <w:t xml:space="preserve">, è stata introdotta una vera e propria </w:t>
      </w:r>
      <w:r w:rsidRPr="00CD2216">
        <w:rPr>
          <w:rFonts w:ascii="TitilliumWeb-Regular" w:hAnsi="TitilliumWeb-Regular" w:cs="TitilliumWeb-Regular"/>
          <w:b/>
          <w:bCs/>
          <w:sz w:val="26"/>
          <w:szCs w:val="30"/>
        </w:rPr>
        <w:t>innovazione</w:t>
      </w:r>
      <w:r w:rsidRPr="00CD2216">
        <w:rPr>
          <w:rFonts w:ascii="TitilliumWeb-Regular" w:hAnsi="TitilliumWeb-Regular" w:cs="TitilliumWeb-Regular"/>
          <w:sz w:val="26"/>
          <w:szCs w:val="30"/>
        </w:rPr>
        <w:t xml:space="preserve">, in grado di automatizzare ciò che era stato possibile intercettare «manualmente». È stato quindi implementato un </w:t>
      </w:r>
      <w:r w:rsidRPr="00CD2216">
        <w:rPr>
          <w:rFonts w:ascii="TitilliumWeb-Regular" w:hAnsi="TitilliumWeb-Regular" w:cs="TitilliumWeb-Regular"/>
          <w:b/>
          <w:bCs/>
          <w:sz w:val="26"/>
          <w:szCs w:val="30"/>
        </w:rPr>
        <w:t>applicativo realizzato ad-hoc</w:t>
      </w:r>
      <w:r w:rsidRPr="00CD2216">
        <w:rPr>
          <w:rFonts w:ascii="TitilliumWeb-Regular" w:hAnsi="TitilliumWeb-Regular" w:cs="TitilliumWeb-Regular"/>
          <w:sz w:val="26"/>
          <w:szCs w:val="30"/>
        </w:rPr>
        <w:t>, eseguito su un server ETL (</w:t>
      </w:r>
      <w:proofErr w:type="spellStart"/>
      <w:r w:rsidRPr="00CD2216">
        <w:rPr>
          <w:rFonts w:ascii="TitilliumWeb-Regular" w:hAnsi="TitilliumWeb-Regular" w:cs="TitilliumWeb-Regular"/>
          <w:sz w:val="26"/>
          <w:szCs w:val="30"/>
        </w:rPr>
        <w:t>Extract</w:t>
      </w:r>
      <w:proofErr w:type="spellEnd"/>
      <w:r w:rsidRPr="00CD2216">
        <w:rPr>
          <w:rFonts w:ascii="TitilliumWeb-Regular" w:hAnsi="TitilliumWeb-Regular" w:cs="TitilliumWeb-Regular"/>
          <w:sz w:val="26"/>
          <w:szCs w:val="30"/>
        </w:rPr>
        <w:t xml:space="preserve">, </w:t>
      </w:r>
      <w:proofErr w:type="spellStart"/>
      <w:r w:rsidRPr="00CD2216">
        <w:rPr>
          <w:rFonts w:ascii="TitilliumWeb-Regular" w:hAnsi="TitilliumWeb-Regular" w:cs="TitilliumWeb-Regular"/>
          <w:sz w:val="26"/>
          <w:szCs w:val="30"/>
        </w:rPr>
        <w:t>Transform</w:t>
      </w:r>
      <w:proofErr w:type="spellEnd"/>
      <w:r w:rsidRPr="00CD2216">
        <w:rPr>
          <w:rFonts w:ascii="TitilliumWeb-Regular" w:hAnsi="TitilliumWeb-Regular" w:cs="TitilliumWeb-Regular"/>
          <w:sz w:val="26"/>
          <w:szCs w:val="30"/>
        </w:rPr>
        <w:t xml:space="preserve"> &amp; Load) di interscambio dati, fra QRadar e Palo Alto. Su QRadar e su Palo Alto è stata costruita una struttura di regole che rende fruibili ed integrabili i dati per tale applicativo. QRadar ha fin da subito individuato una lista di circa 3000 indirizzi IP, inviandoli al Firewall Palo Alto che li ha bloccati senza necessità di intervento umano: </w:t>
      </w:r>
      <w:r w:rsidRPr="00CD2216">
        <w:rPr>
          <w:rFonts w:ascii="TitilliumWeb-Regular" w:hAnsi="TitilliumWeb-Regular" w:cs="TitilliumWeb-Regular"/>
          <w:b/>
          <w:bCs/>
          <w:sz w:val="26"/>
          <w:szCs w:val="30"/>
        </w:rPr>
        <w:t xml:space="preserve">la quadratura del cerchio </w:t>
      </w:r>
      <w:r w:rsidRPr="00CD2216">
        <w:rPr>
          <w:rFonts w:ascii="TitilliumWeb-Regular" w:hAnsi="TitilliumWeb-Regular" w:cs="TitilliumWeb-Regular"/>
          <w:sz w:val="26"/>
          <w:szCs w:val="30"/>
        </w:rPr>
        <w:t>avviene perché il Firewall segnala al SIEM gli indirizzi IP anomali e il secondo, se ritiene il traffico come potenziale tentativo di attacco fraudolento, li segnala a sua volta al Palo Alto, il quale li blocca.</w:t>
      </w:r>
    </w:p>
    <w:p w14:paraId="76537C8D" w14:textId="7777777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sz w:val="26"/>
          <w:szCs w:val="30"/>
        </w:rPr>
      </w:pPr>
      <w:r w:rsidRPr="00CD2216">
        <w:rPr>
          <w:rFonts w:ascii="TitilliumWeb-Regular" w:hAnsi="TitilliumWeb-Regular" w:cs="TitilliumWeb-Regular"/>
          <w:b/>
          <w:bCs/>
          <w:i/>
          <w:iCs/>
          <w:sz w:val="26"/>
          <w:szCs w:val="30"/>
        </w:rPr>
        <w:t>Come se il ladro venisse scoperto durante il giro di ispezione, prima che entri nella strada di casa nostra e quindi casa nostra non riesce nemmeno a vederla.</w:t>
      </w:r>
    </w:p>
    <w:p w14:paraId="190083CF" w14:textId="77777777" w:rsidR="00CD2216" w:rsidRPr="00CD2216" w:rsidRDefault="00CD2216"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p w14:paraId="446B1FC0" w14:textId="77777777" w:rsidR="00CD2216" w:rsidRPr="00AB4F23" w:rsidRDefault="00CD2216" w:rsidP="00043970">
      <w:pPr>
        <w:widowControl w:val="0"/>
        <w:tabs>
          <w:tab w:val="left" w:pos="220"/>
          <w:tab w:val="left" w:pos="720"/>
        </w:tabs>
        <w:autoSpaceDE w:val="0"/>
        <w:autoSpaceDN w:val="0"/>
        <w:adjustRightInd w:val="0"/>
        <w:rPr>
          <w:rFonts w:ascii="TitilliumWeb-Regular" w:hAnsi="TitilliumWeb-Regular" w:cs="TitilliumWeb-Regular"/>
          <w:color w:val="787878"/>
          <w:sz w:val="26"/>
          <w:szCs w:val="30"/>
        </w:rPr>
      </w:pPr>
    </w:p>
    <w:sectPr w:rsidR="00CD2216" w:rsidRPr="00AB4F23" w:rsidSect="00043970">
      <w:headerReference w:type="default" r:id="rId15"/>
      <w:pgSz w:w="11900" w:h="16840"/>
      <w:pgMar w:top="24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0081C" w14:textId="77777777" w:rsidR="007F6F9E" w:rsidRDefault="007F6F9E" w:rsidP="0087238B">
      <w:r>
        <w:separator/>
      </w:r>
    </w:p>
  </w:endnote>
  <w:endnote w:type="continuationSeparator" w:id="0">
    <w:p w14:paraId="1195337C" w14:textId="77777777" w:rsidR="007F6F9E" w:rsidRDefault="007F6F9E" w:rsidP="008723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tilliumWeb-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F1929D" w14:textId="77777777" w:rsidR="007F6F9E" w:rsidRDefault="007F6F9E" w:rsidP="0087238B">
      <w:r>
        <w:separator/>
      </w:r>
    </w:p>
  </w:footnote>
  <w:footnote w:type="continuationSeparator" w:id="0">
    <w:p w14:paraId="7F5B52C5" w14:textId="77777777" w:rsidR="007F6F9E" w:rsidRDefault="007F6F9E" w:rsidP="008723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4BD3C" w14:textId="4D76435F" w:rsidR="0087238B" w:rsidRDefault="0088544B" w:rsidP="0087238B">
    <w:pPr>
      <w:pStyle w:val="Intestazione"/>
      <w:tabs>
        <w:tab w:val="clear" w:pos="9638"/>
        <w:tab w:val="right" w:pos="9632"/>
      </w:tabs>
    </w:pPr>
    <w:r>
      <w:rPr>
        <w:noProof/>
      </w:rPr>
      <w:pict w14:anchorId="225C64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1" o:spid="_x0000_s5124" type="#_x0000_t75" style="position:absolute;margin-left:425.55pt;margin-top:32.25pt;width:69.75pt;height:53.25pt;z-index:251659264;visibility:visible;mso-wrap-style:square;mso-position-horizontal-relative:text;mso-position-vertical-relative:text">
          <v:imagedata r:id="rId1" o:title=""/>
        </v:shape>
      </w:pict>
    </w:r>
    <w:r w:rsidR="0087238B">
      <w:tab/>
    </w:r>
    <w:r>
      <w:rPr>
        <w:noProof/>
      </w:rPr>
      <w:pict w14:anchorId="619D868D">
        <v:shape id="_x0000_i1026" type="#_x0000_t75" style="width:240pt;height:69pt;visibility:visible;mso-wrap-style:square">
          <v:imagedata r:id="rId2" o:title=""/>
        </v:shape>
      </w:pict>
    </w:r>
    <w:r>
      <w:rPr>
        <w:noProof/>
      </w:rPr>
      <w:pict w14:anchorId="1F986FDD">
        <v:shape id="_x0000_i1027" type="#_x0000_t75" style="width:20in;height:409.8pt;visibility:visible;mso-wrap-style:square">
          <v:imagedata r:id="rId2" o:title=""/>
        </v:shape>
      </w:pict>
    </w:r>
    <w:r>
      <w:rPr>
        <w:noProof/>
      </w:rPr>
      <w:pict w14:anchorId="3738CAB6">
        <v:shape id="_x0000_i1028" type="#_x0000_t75" style="width:20in;height:409.8pt;visibility:visible;mso-wrap-style:square">
          <v:imagedata r:id="rId2" o:titl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124313"/>
    <w:multiLevelType w:val="hybridMultilevel"/>
    <w:tmpl w:val="CC58CC3E"/>
    <w:lvl w:ilvl="0" w:tplc="1FBA672E">
      <w:start w:val="1"/>
      <w:numFmt w:val="bullet"/>
      <w:lvlText w:val=""/>
      <w:lvlJc w:val="left"/>
      <w:pPr>
        <w:tabs>
          <w:tab w:val="num" w:pos="720"/>
        </w:tabs>
        <w:ind w:left="720" w:hanging="360"/>
      </w:pPr>
      <w:rPr>
        <w:rFonts w:ascii="Wingdings" w:hAnsi="Wingdings" w:hint="default"/>
      </w:rPr>
    </w:lvl>
    <w:lvl w:ilvl="1" w:tplc="B4885C70" w:tentative="1">
      <w:start w:val="1"/>
      <w:numFmt w:val="bullet"/>
      <w:lvlText w:val=""/>
      <w:lvlJc w:val="left"/>
      <w:pPr>
        <w:tabs>
          <w:tab w:val="num" w:pos="1440"/>
        </w:tabs>
        <w:ind w:left="1440" w:hanging="360"/>
      </w:pPr>
      <w:rPr>
        <w:rFonts w:ascii="Wingdings" w:hAnsi="Wingdings" w:hint="default"/>
      </w:rPr>
    </w:lvl>
    <w:lvl w:ilvl="2" w:tplc="B5FE5D76" w:tentative="1">
      <w:start w:val="1"/>
      <w:numFmt w:val="bullet"/>
      <w:lvlText w:val=""/>
      <w:lvlJc w:val="left"/>
      <w:pPr>
        <w:tabs>
          <w:tab w:val="num" w:pos="2160"/>
        </w:tabs>
        <w:ind w:left="2160" w:hanging="360"/>
      </w:pPr>
      <w:rPr>
        <w:rFonts w:ascii="Wingdings" w:hAnsi="Wingdings" w:hint="default"/>
      </w:rPr>
    </w:lvl>
    <w:lvl w:ilvl="3" w:tplc="FA52C718" w:tentative="1">
      <w:start w:val="1"/>
      <w:numFmt w:val="bullet"/>
      <w:lvlText w:val=""/>
      <w:lvlJc w:val="left"/>
      <w:pPr>
        <w:tabs>
          <w:tab w:val="num" w:pos="2880"/>
        </w:tabs>
        <w:ind w:left="2880" w:hanging="360"/>
      </w:pPr>
      <w:rPr>
        <w:rFonts w:ascii="Wingdings" w:hAnsi="Wingdings" w:hint="default"/>
      </w:rPr>
    </w:lvl>
    <w:lvl w:ilvl="4" w:tplc="7F64A7A6" w:tentative="1">
      <w:start w:val="1"/>
      <w:numFmt w:val="bullet"/>
      <w:lvlText w:val=""/>
      <w:lvlJc w:val="left"/>
      <w:pPr>
        <w:tabs>
          <w:tab w:val="num" w:pos="3600"/>
        </w:tabs>
        <w:ind w:left="3600" w:hanging="360"/>
      </w:pPr>
      <w:rPr>
        <w:rFonts w:ascii="Wingdings" w:hAnsi="Wingdings" w:hint="default"/>
      </w:rPr>
    </w:lvl>
    <w:lvl w:ilvl="5" w:tplc="15A601AC" w:tentative="1">
      <w:start w:val="1"/>
      <w:numFmt w:val="bullet"/>
      <w:lvlText w:val=""/>
      <w:lvlJc w:val="left"/>
      <w:pPr>
        <w:tabs>
          <w:tab w:val="num" w:pos="4320"/>
        </w:tabs>
        <w:ind w:left="4320" w:hanging="360"/>
      </w:pPr>
      <w:rPr>
        <w:rFonts w:ascii="Wingdings" w:hAnsi="Wingdings" w:hint="default"/>
      </w:rPr>
    </w:lvl>
    <w:lvl w:ilvl="6" w:tplc="6F6C1340" w:tentative="1">
      <w:start w:val="1"/>
      <w:numFmt w:val="bullet"/>
      <w:lvlText w:val=""/>
      <w:lvlJc w:val="left"/>
      <w:pPr>
        <w:tabs>
          <w:tab w:val="num" w:pos="5040"/>
        </w:tabs>
        <w:ind w:left="5040" w:hanging="360"/>
      </w:pPr>
      <w:rPr>
        <w:rFonts w:ascii="Wingdings" w:hAnsi="Wingdings" w:hint="default"/>
      </w:rPr>
    </w:lvl>
    <w:lvl w:ilvl="7" w:tplc="FA36AA14" w:tentative="1">
      <w:start w:val="1"/>
      <w:numFmt w:val="bullet"/>
      <w:lvlText w:val=""/>
      <w:lvlJc w:val="left"/>
      <w:pPr>
        <w:tabs>
          <w:tab w:val="num" w:pos="5760"/>
        </w:tabs>
        <w:ind w:left="5760" w:hanging="360"/>
      </w:pPr>
      <w:rPr>
        <w:rFonts w:ascii="Wingdings" w:hAnsi="Wingdings" w:hint="default"/>
      </w:rPr>
    </w:lvl>
    <w:lvl w:ilvl="8" w:tplc="32D6C9EE"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D85273"/>
    <w:multiLevelType w:val="hybridMultilevel"/>
    <w:tmpl w:val="79E23582"/>
    <w:lvl w:ilvl="0" w:tplc="05BA2494">
      <w:start w:val="1"/>
      <w:numFmt w:val="bullet"/>
      <w:lvlText w:val="•"/>
      <w:lvlJc w:val="left"/>
      <w:pPr>
        <w:tabs>
          <w:tab w:val="num" w:pos="720"/>
        </w:tabs>
        <w:ind w:left="720" w:hanging="360"/>
      </w:pPr>
      <w:rPr>
        <w:rFonts w:ascii="Arial" w:hAnsi="Arial" w:hint="default"/>
      </w:rPr>
    </w:lvl>
    <w:lvl w:ilvl="1" w:tplc="C0A657F4" w:tentative="1">
      <w:start w:val="1"/>
      <w:numFmt w:val="bullet"/>
      <w:lvlText w:val="•"/>
      <w:lvlJc w:val="left"/>
      <w:pPr>
        <w:tabs>
          <w:tab w:val="num" w:pos="1440"/>
        </w:tabs>
        <w:ind w:left="1440" w:hanging="360"/>
      </w:pPr>
      <w:rPr>
        <w:rFonts w:ascii="Arial" w:hAnsi="Arial" w:hint="default"/>
      </w:rPr>
    </w:lvl>
    <w:lvl w:ilvl="2" w:tplc="8B40A0B6" w:tentative="1">
      <w:start w:val="1"/>
      <w:numFmt w:val="bullet"/>
      <w:lvlText w:val="•"/>
      <w:lvlJc w:val="left"/>
      <w:pPr>
        <w:tabs>
          <w:tab w:val="num" w:pos="2160"/>
        </w:tabs>
        <w:ind w:left="2160" w:hanging="360"/>
      </w:pPr>
      <w:rPr>
        <w:rFonts w:ascii="Arial" w:hAnsi="Arial" w:hint="default"/>
      </w:rPr>
    </w:lvl>
    <w:lvl w:ilvl="3" w:tplc="0F72D93C" w:tentative="1">
      <w:start w:val="1"/>
      <w:numFmt w:val="bullet"/>
      <w:lvlText w:val="•"/>
      <w:lvlJc w:val="left"/>
      <w:pPr>
        <w:tabs>
          <w:tab w:val="num" w:pos="2880"/>
        </w:tabs>
        <w:ind w:left="2880" w:hanging="360"/>
      </w:pPr>
      <w:rPr>
        <w:rFonts w:ascii="Arial" w:hAnsi="Arial" w:hint="default"/>
      </w:rPr>
    </w:lvl>
    <w:lvl w:ilvl="4" w:tplc="59F815DE" w:tentative="1">
      <w:start w:val="1"/>
      <w:numFmt w:val="bullet"/>
      <w:lvlText w:val="•"/>
      <w:lvlJc w:val="left"/>
      <w:pPr>
        <w:tabs>
          <w:tab w:val="num" w:pos="3600"/>
        </w:tabs>
        <w:ind w:left="3600" w:hanging="360"/>
      </w:pPr>
      <w:rPr>
        <w:rFonts w:ascii="Arial" w:hAnsi="Arial" w:hint="default"/>
      </w:rPr>
    </w:lvl>
    <w:lvl w:ilvl="5" w:tplc="319EE2BC" w:tentative="1">
      <w:start w:val="1"/>
      <w:numFmt w:val="bullet"/>
      <w:lvlText w:val="•"/>
      <w:lvlJc w:val="left"/>
      <w:pPr>
        <w:tabs>
          <w:tab w:val="num" w:pos="4320"/>
        </w:tabs>
        <w:ind w:left="4320" w:hanging="360"/>
      </w:pPr>
      <w:rPr>
        <w:rFonts w:ascii="Arial" w:hAnsi="Arial" w:hint="default"/>
      </w:rPr>
    </w:lvl>
    <w:lvl w:ilvl="6" w:tplc="CCB4B762" w:tentative="1">
      <w:start w:val="1"/>
      <w:numFmt w:val="bullet"/>
      <w:lvlText w:val="•"/>
      <w:lvlJc w:val="left"/>
      <w:pPr>
        <w:tabs>
          <w:tab w:val="num" w:pos="5040"/>
        </w:tabs>
        <w:ind w:left="5040" w:hanging="360"/>
      </w:pPr>
      <w:rPr>
        <w:rFonts w:ascii="Arial" w:hAnsi="Arial" w:hint="default"/>
      </w:rPr>
    </w:lvl>
    <w:lvl w:ilvl="7" w:tplc="B1A0E0BA" w:tentative="1">
      <w:start w:val="1"/>
      <w:numFmt w:val="bullet"/>
      <w:lvlText w:val="•"/>
      <w:lvlJc w:val="left"/>
      <w:pPr>
        <w:tabs>
          <w:tab w:val="num" w:pos="5760"/>
        </w:tabs>
        <w:ind w:left="5760" w:hanging="360"/>
      </w:pPr>
      <w:rPr>
        <w:rFonts w:ascii="Arial" w:hAnsi="Arial" w:hint="default"/>
      </w:rPr>
    </w:lvl>
    <w:lvl w:ilvl="8" w:tplc="F37A4C2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2596523"/>
    <w:multiLevelType w:val="hybridMultilevel"/>
    <w:tmpl w:val="5B10FC58"/>
    <w:lvl w:ilvl="0" w:tplc="68CCE7E0">
      <w:start w:val="1"/>
      <w:numFmt w:val="bullet"/>
      <w:lvlText w:val="•"/>
      <w:lvlJc w:val="left"/>
      <w:pPr>
        <w:tabs>
          <w:tab w:val="num" w:pos="720"/>
        </w:tabs>
        <w:ind w:left="720" w:hanging="360"/>
      </w:pPr>
      <w:rPr>
        <w:rFonts w:ascii="Arial" w:hAnsi="Arial" w:hint="default"/>
      </w:rPr>
    </w:lvl>
    <w:lvl w:ilvl="1" w:tplc="2A88014C">
      <w:start w:val="1"/>
      <w:numFmt w:val="bullet"/>
      <w:lvlText w:val="•"/>
      <w:lvlJc w:val="left"/>
      <w:pPr>
        <w:tabs>
          <w:tab w:val="num" w:pos="1440"/>
        </w:tabs>
        <w:ind w:left="1440" w:hanging="360"/>
      </w:pPr>
      <w:rPr>
        <w:rFonts w:ascii="Arial" w:hAnsi="Arial" w:hint="default"/>
      </w:rPr>
    </w:lvl>
    <w:lvl w:ilvl="2" w:tplc="41607E04" w:tentative="1">
      <w:start w:val="1"/>
      <w:numFmt w:val="bullet"/>
      <w:lvlText w:val="•"/>
      <w:lvlJc w:val="left"/>
      <w:pPr>
        <w:tabs>
          <w:tab w:val="num" w:pos="2160"/>
        </w:tabs>
        <w:ind w:left="2160" w:hanging="360"/>
      </w:pPr>
      <w:rPr>
        <w:rFonts w:ascii="Arial" w:hAnsi="Arial" w:hint="default"/>
      </w:rPr>
    </w:lvl>
    <w:lvl w:ilvl="3" w:tplc="D1647854" w:tentative="1">
      <w:start w:val="1"/>
      <w:numFmt w:val="bullet"/>
      <w:lvlText w:val="•"/>
      <w:lvlJc w:val="left"/>
      <w:pPr>
        <w:tabs>
          <w:tab w:val="num" w:pos="2880"/>
        </w:tabs>
        <w:ind w:left="2880" w:hanging="360"/>
      </w:pPr>
      <w:rPr>
        <w:rFonts w:ascii="Arial" w:hAnsi="Arial" w:hint="default"/>
      </w:rPr>
    </w:lvl>
    <w:lvl w:ilvl="4" w:tplc="D02E2E90" w:tentative="1">
      <w:start w:val="1"/>
      <w:numFmt w:val="bullet"/>
      <w:lvlText w:val="•"/>
      <w:lvlJc w:val="left"/>
      <w:pPr>
        <w:tabs>
          <w:tab w:val="num" w:pos="3600"/>
        </w:tabs>
        <w:ind w:left="3600" w:hanging="360"/>
      </w:pPr>
      <w:rPr>
        <w:rFonts w:ascii="Arial" w:hAnsi="Arial" w:hint="default"/>
      </w:rPr>
    </w:lvl>
    <w:lvl w:ilvl="5" w:tplc="C51C59BC" w:tentative="1">
      <w:start w:val="1"/>
      <w:numFmt w:val="bullet"/>
      <w:lvlText w:val="•"/>
      <w:lvlJc w:val="left"/>
      <w:pPr>
        <w:tabs>
          <w:tab w:val="num" w:pos="4320"/>
        </w:tabs>
        <w:ind w:left="4320" w:hanging="360"/>
      </w:pPr>
      <w:rPr>
        <w:rFonts w:ascii="Arial" w:hAnsi="Arial" w:hint="default"/>
      </w:rPr>
    </w:lvl>
    <w:lvl w:ilvl="6" w:tplc="1886379E" w:tentative="1">
      <w:start w:val="1"/>
      <w:numFmt w:val="bullet"/>
      <w:lvlText w:val="•"/>
      <w:lvlJc w:val="left"/>
      <w:pPr>
        <w:tabs>
          <w:tab w:val="num" w:pos="5040"/>
        </w:tabs>
        <w:ind w:left="5040" w:hanging="360"/>
      </w:pPr>
      <w:rPr>
        <w:rFonts w:ascii="Arial" w:hAnsi="Arial" w:hint="default"/>
      </w:rPr>
    </w:lvl>
    <w:lvl w:ilvl="7" w:tplc="32ECF22E" w:tentative="1">
      <w:start w:val="1"/>
      <w:numFmt w:val="bullet"/>
      <w:lvlText w:val="•"/>
      <w:lvlJc w:val="left"/>
      <w:pPr>
        <w:tabs>
          <w:tab w:val="num" w:pos="5760"/>
        </w:tabs>
        <w:ind w:left="5760" w:hanging="360"/>
      </w:pPr>
      <w:rPr>
        <w:rFonts w:ascii="Arial" w:hAnsi="Arial" w:hint="default"/>
      </w:rPr>
    </w:lvl>
    <w:lvl w:ilvl="8" w:tplc="6AD6053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320703F3"/>
    <w:multiLevelType w:val="hybridMultilevel"/>
    <w:tmpl w:val="445E16CA"/>
    <w:lvl w:ilvl="0" w:tplc="89E238E6">
      <w:start w:val="1"/>
      <w:numFmt w:val="bullet"/>
      <w:lvlText w:val="•"/>
      <w:lvlJc w:val="left"/>
      <w:pPr>
        <w:tabs>
          <w:tab w:val="num" w:pos="720"/>
        </w:tabs>
        <w:ind w:left="720" w:hanging="360"/>
      </w:pPr>
      <w:rPr>
        <w:rFonts w:ascii="Arial" w:hAnsi="Arial" w:hint="default"/>
      </w:rPr>
    </w:lvl>
    <w:lvl w:ilvl="1" w:tplc="3CF624AC">
      <w:start w:val="1"/>
      <w:numFmt w:val="bullet"/>
      <w:lvlText w:val="•"/>
      <w:lvlJc w:val="left"/>
      <w:pPr>
        <w:tabs>
          <w:tab w:val="num" w:pos="1440"/>
        </w:tabs>
        <w:ind w:left="1440" w:hanging="360"/>
      </w:pPr>
      <w:rPr>
        <w:rFonts w:ascii="Arial" w:hAnsi="Arial" w:hint="default"/>
      </w:rPr>
    </w:lvl>
    <w:lvl w:ilvl="2" w:tplc="3F669756" w:tentative="1">
      <w:start w:val="1"/>
      <w:numFmt w:val="bullet"/>
      <w:lvlText w:val="•"/>
      <w:lvlJc w:val="left"/>
      <w:pPr>
        <w:tabs>
          <w:tab w:val="num" w:pos="2160"/>
        </w:tabs>
        <w:ind w:left="2160" w:hanging="360"/>
      </w:pPr>
      <w:rPr>
        <w:rFonts w:ascii="Arial" w:hAnsi="Arial" w:hint="default"/>
      </w:rPr>
    </w:lvl>
    <w:lvl w:ilvl="3" w:tplc="37AAF770" w:tentative="1">
      <w:start w:val="1"/>
      <w:numFmt w:val="bullet"/>
      <w:lvlText w:val="•"/>
      <w:lvlJc w:val="left"/>
      <w:pPr>
        <w:tabs>
          <w:tab w:val="num" w:pos="2880"/>
        </w:tabs>
        <w:ind w:left="2880" w:hanging="360"/>
      </w:pPr>
      <w:rPr>
        <w:rFonts w:ascii="Arial" w:hAnsi="Arial" w:hint="default"/>
      </w:rPr>
    </w:lvl>
    <w:lvl w:ilvl="4" w:tplc="2264B6E6" w:tentative="1">
      <w:start w:val="1"/>
      <w:numFmt w:val="bullet"/>
      <w:lvlText w:val="•"/>
      <w:lvlJc w:val="left"/>
      <w:pPr>
        <w:tabs>
          <w:tab w:val="num" w:pos="3600"/>
        </w:tabs>
        <w:ind w:left="3600" w:hanging="360"/>
      </w:pPr>
      <w:rPr>
        <w:rFonts w:ascii="Arial" w:hAnsi="Arial" w:hint="default"/>
      </w:rPr>
    </w:lvl>
    <w:lvl w:ilvl="5" w:tplc="397EFD50" w:tentative="1">
      <w:start w:val="1"/>
      <w:numFmt w:val="bullet"/>
      <w:lvlText w:val="•"/>
      <w:lvlJc w:val="left"/>
      <w:pPr>
        <w:tabs>
          <w:tab w:val="num" w:pos="4320"/>
        </w:tabs>
        <w:ind w:left="4320" w:hanging="360"/>
      </w:pPr>
      <w:rPr>
        <w:rFonts w:ascii="Arial" w:hAnsi="Arial" w:hint="default"/>
      </w:rPr>
    </w:lvl>
    <w:lvl w:ilvl="6" w:tplc="8608552C" w:tentative="1">
      <w:start w:val="1"/>
      <w:numFmt w:val="bullet"/>
      <w:lvlText w:val="•"/>
      <w:lvlJc w:val="left"/>
      <w:pPr>
        <w:tabs>
          <w:tab w:val="num" w:pos="5040"/>
        </w:tabs>
        <w:ind w:left="5040" w:hanging="360"/>
      </w:pPr>
      <w:rPr>
        <w:rFonts w:ascii="Arial" w:hAnsi="Arial" w:hint="default"/>
      </w:rPr>
    </w:lvl>
    <w:lvl w:ilvl="7" w:tplc="DF2C33C4" w:tentative="1">
      <w:start w:val="1"/>
      <w:numFmt w:val="bullet"/>
      <w:lvlText w:val="•"/>
      <w:lvlJc w:val="left"/>
      <w:pPr>
        <w:tabs>
          <w:tab w:val="num" w:pos="5760"/>
        </w:tabs>
        <w:ind w:left="5760" w:hanging="360"/>
      </w:pPr>
      <w:rPr>
        <w:rFonts w:ascii="Arial" w:hAnsi="Arial" w:hint="default"/>
      </w:rPr>
    </w:lvl>
    <w:lvl w:ilvl="8" w:tplc="6A4EB9E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6EF50F2D"/>
    <w:multiLevelType w:val="hybridMultilevel"/>
    <w:tmpl w:val="EA0A1E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08"/>
  <w:hyphenationZone w:val="283"/>
  <w:characterSpacingControl w:val="doNotCompress"/>
  <w:hdrShapeDefaults>
    <o:shapedefaults v:ext="edit" spidmax="5128"/>
    <o:shapelayout v:ext="edit">
      <o:idmap v:ext="edit" data="5"/>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27FE"/>
    <w:rsid w:val="00043970"/>
    <w:rsid w:val="000B3E69"/>
    <w:rsid w:val="000C72E1"/>
    <w:rsid w:val="001A4CB4"/>
    <w:rsid w:val="002E0361"/>
    <w:rsid w:val="00344EC3"/>
    <w:rsid w:val="003B3723"/>
    <w:rsid w:val="004B73D6"/>
    <w:rsid w:val="00665480"/>
    <w:rsid w:val="007F6F9E"/>
    <w:rsid w:val="0087238B"/>
    <w:rsid w:val="0088544B"/>
    <w:rsid w:val="008F0E22"/>
    <w:rsid w:val="00914F28"/>
    <w:rsid w:val="00962097"/>
    <w:rsid w:val="00985740"/>
    <w:rsid w:val="009B27FE"/>
    <w:rsid w:val="009B300E"/>
    <w:rsid w:val="009F2DBA"/>
    <w:rsid w:val="00A22EC2"/>
    <w:rsid w:val="00A3461F"/>
    <w:rsid w:val="00AB4F23"/>
    <w:rsid w:val="00AD7498"/>
    <w:rsid w:val="00B263FC"/>
    <w:rsid w:val="00C267C6"/>
    <w:rsid w:val="00C65983"/>
    <w:rsid w:val="00C90708"/>
    <w:rsid w:val="00CA49F6"/>
    <w:rsid w:val="00CD2216"/>
    <w:rsid w:val="00D33FAB"/>
    <w:rsid w:val="00D6525D"/>
    <w:rsid w:val="00D73E8B"/>
    <w:rsid w:val="00EC2337"/>
    <w:rsid w:val="00F075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8"/>
    <o:shapelayout v:ext="edit">
      <o:idmap v:ext="edit" data="1"/>
    </o:shapelayout>
  </w:shapeDefaults>
  <w:decimalSymbol w:val=","/>
  <w:listSeparator w:val=";"/>
  <w14:docId w14:val="021E3554"/>
  <w15:chartTrackingRefBased/>
  <w15:docId w15:val="{779AA833-A986-456B-8128-AAA8FD780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7238B"/>
    <w:pPr>
      <w:tabs>
        <w:tab w:val="center" w:pos="4819"/>
        <w:tab w:val="right" w:pos="9638"/>
      </w:tabs>
    </w:pPr>
  </w:style>
  <w:style w:type="character" w:customStyle="1" w:styleId="IntestazioneCarattere">
    <w:name w:val="Intestazione Carattere"/>
    <w:link w:val="Intestazione"/>
    <w:uiPriority w:val="99"/>
    <w:rsid w:val="0087238B"/>
    <w:rPr>
      <w:sz w:val="24"/>
      <w:szCs w:val="24"/>
      <w:lang w:eastAsia="en-US"/>
    </w:rPr>
  </w:style>
  <w:style w:type="paragraph" w:styleId="Pidipagina">
    <w:name w:val="footer"/>
    <w:basedOn w:val="Normale"/>
    <w:link w:val="PidipaginaCarattere"/>
    <w:uiPriority w:val="99"/>
    <w:unhideWhenUsed/>
    <w:rsid w:val="0087238B"/>
    <w:pPr>
      <w:tabs>
        <w:tab w:val="center" w:pos="4819"/>
        <w:tab w:val="right" w:pos="9638"/>
      </w:tabs>
    </w:pPr>
  </w:style>
  <w:style w:type="character" w:customStyle="1" w:styleId="PidipaginaCarattere">
    <w:name w:val="Piè di pagina Carattere"/>
    <w:link w:val="Pidipagina"/>
    <w:uiPriority w:val="99"/>
    <w:rsid w:val="0087238B"/>
    <w:rPr>
      <w:sz w:val="24"/>
      <w:szCs w:val="24"/>
      <w:lang w:eastAsia="en-US"/>
    </w:rPr>
  </w:style>
  <w:style w:type="character" w:styleId="Collegamentoipertestuale">
    <w:name w:val="Hyperlink"/>
    <w:uiPriority w:val="99"/>
    <w:semiHidden/>
    <w:unhideWhenUsed/>
    <w:rsid w:val="00A22EC2"/>
    <w:rPr>
      <w:color w:val="0563C1"/>
      <w:u w:val="single"/>
    </w:rPr>
  </w:style>
  <w:style w:type="paragraph" w:styleId="NormaleWeb">
    <w:name w:val="Normal (Web)"/>
    <w:basedOn w:val="Normale"/>
    <w:uiPriority w:val="99"/>
    <w:semiHidden/>
    <w:unhideWhenUsed/>
    <w:rsid w:val="00985740"/>
    <w:pPr>
      <w:spacing w:before="100" w:beforeAutospacing="1" w:after="100" w:afterAutospacing="1"/>
    </w:pPr>
    <w:rPr>
      <w:rFonts w:ascii="Times New Roman" w:eastAsia="Times New Roman" w:hAnsi="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03080">
      <w:bodyDiv w:val="1"/>
      <w:marLeft w:val="0"/>
      <w:marRight w:val="0"/>
      <w:marTop w:val="0"/>
      <w:marBottom w:val="0"/>
      <w:divBdr>
        <w:top w:val="none" w:sz="0" w:space="0" w:color="auto"/>
        <w:left w:val="none" w:sz="0" w:space="0" w:color="auto"/>
        <w:bottom w:val="none" w:sz="0" w:space="0" w:color="auto"/>
        <w:right w:val="none" w:sz="0" w:space="0" w:color="auto"/>
      </w:divBdr>
    </w:div>
    <w:div w:id="115224731">
      <w:bodyDiv w:val="1"/>
      <w:marLeft w:val="0"/>
      <w:marRight w:val="0"/>
      <w:marTop w:val="0"/>
      <w:marBottom w:val="0"/>
      <w:divBdr>
        <w:top w:val="none" w:sz="0" w:space="0" w:color="auto"/>
        <w:left w:val="none" w:sz="0" w:space="0" w:color="auto"/>
        <w:bottom w:val="none" w:sz="0" w:space="0" w:color="auto"/>
        <w:right w:val="none" w:sz="0" w:space="0" w:color="auto"/>
      </w:divBdr>
    </w:div>
    <w:div w:id="212272058">
      <w:bodyDiv w:val="1"/>
      <w:marLeft w:val="0"/>
      <w:marRight w:val="0"/>
      <w:marTop w:val="0"/>
      <w:marBottom w:val="0"/>
      <w:divBdr>
        <w:top w:val="none" w:sz="0" w:space="0" w:color="auto"/>
        <w:left w:val="none" w:sz="0" w:space="0" w:color="auto"/>
        <w:bottom w:val="none" w:sz="0" w:space="0" w:color="auto"/>
        <w:right w:val="none" w:sz="0" w:space="0" w:color="auto"/>
      </w:divBdr>
    </w:div>
    <w:div w:id="313532393">
      <w:bodyDiv w:val="1"/>
      <w:marLeft w:val="0"/>
      <w:marRight w:val="0"/>
      <w:marTop w:val="0"/>
      <w:marBottom w:val="0"/>
      <w:divBdr>
        <w:top w:val="none" w:sz="0" w:space="0" w:color="auto"/>
        <w:left w:val="none" w:sz="0" w:space="0" w:color="auto"/>
        <w:bottom w:val="none" w:sz="0" w:space="0" w:color="auto"/>
        <w:right w:val="none" w:sz="0" w:space="0" w:color="auto"/>
      </w:divBdr>
    </w:div>
    <w:div w:id="628437671">
      <w:bodyDiv w:val="1"/>
      <w:marLeft w:val="0"/>
      <w:marRight w:val="0"/>
      <w:marTop w:val="0"/>
      <w:marBottom w:val="0"/>
      <w:divBdr>
        <w:top w:val="none" w:sz="0" w:space="0" w:color="auto"/>
        <w:left w:val="none" w:sz="0" w:space="0" w:color="auto"/>
        <w:bottom w:val="none" w:sz="0" w:space="0" w:color="auto"/>
        <w:right w:val="none" w:sz="0" w:space="0" w:color="auto"/>
      </w:divBdr>
    </w:div>
    <w:div w:id="785781035">
      <w:bodyDiv w:val="1"/>
      <w:marLeft w:val="0"/>
      <w:marRight w:val="0"/>
      <w:marTop w:val="0"/>
      <w:marBottom w:val="0"/>
      <w:divBdr>
        <w:top w:val="none" w:sz="0" w:space="0" w:color="auto"/>
        <w:left w:val="none" w:sz="0" w:space="0" w:color="auto"/>
        <w:bottom w:val="none" w:sz="0" w:space="0" w:color="auto"/>
        <w:right w:val="none" w:sz="0" w:space="0" w:color="auto"/>
      </w:divBdr>
    </w:div>
    <w:div w:id="785854388">
      <w:bodyDiv w:val="1"/>
      <w:marLeft w:val="0"/>
      <w:marRight w:val="0"/>
      <w:marTop w:val="0"/>
      <w:marBottom w:val="0"/>
      <w:divBdr>
        <w:top w:val="none" w:sz="0" w:space="0" w:color="auto"/>
        <w:left w:val="none" w:sz="0" w:space="0" w:color="auto"/>
        <w:bottom w:val="none" w:sz="0" w:space="0" w:color="auto"/>
        <w:right w:val="none" w:sz="0" w:space="0" w:color="auto"/>
      </w:divBdr>
      <w:divsChild>
        <w:div w:id="233245092">
          <w:marLeft w:val="1166"/>
          <w:marRight w:val="0"/>
          <w:marTop w:val="0"/>
          <w:marBottom w:val="120"/>
          <w:divBdr>
            <w:top w:val="none" w:sz="0" w:space="0" w:color="auto"/>
            <w:left w:val="none" w:sz="0" w:space="0" w:color="auto"/>
            <w:bottom w:val="none" w:sz="0" w:space="0" w:color="auto"/>
            <w:right w:val="none" w:sz="0" w:space="0" w:color="auto"/>
          </w:divBdr>
        </w:div>
        <w:div w:id="1459376860">
          <w:marLeft w:val="1166"/>
          <w:marRight w:val="0"/>
          <w:marTop w:val="0"/>
          <w:marBottom w:val="120"/>
          <w:divBdr>
            <w:top w:val="none" w:sz="0" w:space="0" w:color="auto"/>
            <w:left w:val="none" w:sz="0" w:space="0" w:color="auto"/>
            <w:bottom w:val="none" w:sz="0" w:space="0" w:color="auto"/>
            <w:right w:val="none" w:sz="0" w:space="0" w:color="auto"/>
          </w:divBdr>
        </w:div>
        <w:div w:id="966935953">
          <w:marLeft w:val="1166"/>
          <w:marRight w:val="0"/>
          <w:marTop w:val="0"/>
          <w:marBottom w:val="120"/>
          <w:divBdr>
            <w:top w:val="none" w:sz="0" w:space="0" w:color="auto"/>
            <w:left w:val="none" w:sz="0" w:space="0" w:color="auto"/>
            <w:bottom w:val="none" w:sz="0" w:space="0" w:color="auto"/>
            <w:right w:val="none" w:sz="0" w:space="0" w:color="auto"/>
          </w:divBdr>
        </w:div>
        <w:div w:id="1229922455">
          <w:marLeft w:val="1166"/>
          <w:marRight w:val="0"/>
          <w:marTop w:val="0"/>
          <w:marBottom w:val="120"/>
          <w:divBdr>
            <w:top w:val="none" w:sz="0" w:space="0" w:color="auto"/>
            <w:left w:val="none" w:sz="0" w:space="0" w:color="auto"/>
            <w:bottom w:val="none" w:sz="0" w:space="0" w:color="auto"/>
            <w:right w:val="none" w:sz="0" w:space="0" w:color="auto"/>
          </w:divBdr>
        </w:div>
        <w:div w:id="967927807">
          <w:marLeft w:val="1166"/>
          <w:marRight w:val="0"/>
          <w:marTop w:val="0"/>
          <w:marBottom w:val="120"/>
          <w:divBdr>
            <w:top w:val="none" w:sz="0" w:space="0" w:color="auto"/>
            <w:left w:val="none" w:sz="0" w:space="0" w:color="auto"/>
            <w:bottom w:val="none" w:sz="0" w:space="0" w:color="auto"/>
            <w:right w:val="none" w:sz="0" w:space="0" w:color="auto"/>
          </w:divBdr>
        </w:div>
        <w:div w:id="543180089">
          <w:marLeft w:val="1166"/>
          <w:marRight w:val="0"/>
          <w:marTop w:val="0"/>
          <w:marBottom w:val="120"/>
          <w:divBdr>
            <w:top w:val="none" w:sz="0" w:space="0" w:color="auto"/>
            <w:left w:val="none" w:sz="0" w:space="0" w:color="auto"/>
            <w:bottom w:val="none" w:sz="0" w:space="0" w:color="auto"/>
            <w:right w:val="none" w:sz="0" w:space="0" w:color="auto"/>
          </w:divBdr>
        </w:div>
        <w:div w:id="2004433101">
          <w:marLeft w:val="1166"/>
          <w:marRight w:val="0"/>
          <w:marTop w:val="0"/>
          <w:marBottom w:val="120"/>
          <w:divBdr>
            <w:top w:val="none" w:sz="0" w:space="0" w:color="auto"/>
            <w:left w:val="none" w:sz="0" w:space="0" w:color="auto"/>
            <w:bottom w:val="none" w:sz="0" w:space="0" w:color="auto"/>
            <w:right w:val="none" w:sz="0" w:space="0" w:color="auto"/>
          </w:divBdr>
        </w:div>
      </w:divsChild>
    </w:div>
    <w:div w:id="796139760">
      <w:bodyDiv w:val="1"/>
      <w:marLeft w:val="0"/>
      <w:marRight w:val="0"/>
      <w:marTop w:val="0"/>
      <w:marBottom w:val="0"/>
      <w:divBdr>
        <w:top w:val="none" w:sz="0" w:space="0" w:color="auto"/>
        <w:left w:val="none" w:sz="0" w:space="0" w:color="auto"/>
        <w:bottom w:val="none" w:sz="0" w:space="0" w:color="auto"/>
        <w:right w:val="none" w:sz="0" w:space="0" w:color="auto"/>
      </w:divBdr>
      <w:divsChild>
        <w:div w:id="1398433413">
          <w:marLeft w:val="274"/>
          <w:marRight w:val="0"/>
          <w:marTop w:val="0"/>
          <w:marBottom w:val="120"/>
          <w:divBdr>
            <w:top w:val="none" w:sz="0" w:space="0" w:color="auto"/>
            <w:left w:val="none" w:sz="0" w:space="0" w:color="auto"/>
            <w:bottom w:val="none" w:sz="0" w:space="0" w:color="auto"/>
            <w:right w:val="none" w:sz="0" w:space="0" w:color="auto"/>
          </w:divBdr>
        </w:div>
        <w:div w:id="2112773894">
          <w:marLeft w:val="274"/>
          <w:marRight w:val="0"/>
          <w:marTop w:val="0"/>
          <w:marBottom w:val="120"/>
          <w:divBdr>
            <w:top w:val="none" w:sz="0" w:space="0" w:color="auto"/>
            <w:left w:val="none" w:sz="0" w:space="0" w:color="auto"/>
            <w:bottom w:val="none" w:sz="0" w:space="0" w:color="auto"/>
            <w:right w:val="none" w:sz="0" w:space="0" w:color="auto"/>
          </w:divBdr>
        </w:div>
        <w:div w:id="2072195780">
          <w:marLeft w:val="274"/>
          <w:marRight w:val="0"/>
          <w:marTop w:val="0"/>
          <w:marBottom w:val="120"/>
          <w:divBdr>
            <w:top w:val="none" w:sz="0" w:space="0" w:color="auto"/>
            <w:left w:val="none" w:sz="0" w:space="0" w:color="auto"/>
            <w:bottom w:val="none" w:sz="0" w:space="0" w:color="auto"/>
            <w:right w:val="none" w:sz="0" w:space="0" w:color="auto"/>
          </w:divBdr>
        </w:div>
      </w:divsChild>
    </w:div>
    <w:div w:id="982588947">
      <w:bodyDiv w:val="1"/>
      <w:marLeft w:val="0"/>
      <w:marRight w:val="0"/>
      <w:marTop w:val="0"/>
      <w:marBottom w:val="0"/>
      <w:divBdr>
        <w:top w:val="none" w:sz="0" w:space="0" w:color="auto"/>
        <w:left w:val="none" w:sz="0" w:space="0" w:color="auto"/>
        <w:bottom w:val="none" w:sz="0" w:space="0" w:color="auto"/>
        <w:right w:val="none" w:sz="0" w:space="0" w:color="auto"/>
      </w:divBdr>
    </w:div>
    <w:div w:id="1070077804">
      <w:bodyDiv w:val="1"/>
      <w:marLeft w:val="0"/>
      <w:marRight w:val="0"/>
      <w:marTop w:val="0"/>
      <w:marBottom w:val="0"/>
      <w:divBdr>
        <w:top w:val="none" w:sz="0" w:space="0" w:color="auto"/>
        <w:left w:val="none" w:sz="0" w:space="0" w:color="auto"/>
        <w:bottom w:val="none" w:sz="0" w:space="0" w:color="auto"/>
        <w:right w:val="none" w:sz="0" w:space="0" w:color="auto"/>
      </w:divBdr>
    </w:div>
    <w:div w:id="1172062831">
      <w:bodyDiv w:val="1"/>
      <w:marLeft w:val="0"/>
      <w:marRight w:val="0"/>
      <w:marTop w:val="0"/>
      <w:marBottom w:val="0"/>
      <w:divBdr>
        <w:top w:val="none" w:sz="0" w:space="0" w:color="auto"/>
        <w:left w:val="none" w:sz="0" w:space="0" w:color="auto"/>
        <w:bottom w:val="none" w:sz="0" w:space="0" w:color="auto"/>
        <w:right w:val="none" w:sz="0" w:space="0" w:color="auto"/>
      </w:divBdr>
    </w:div>
    <w:div w:id="1174802539">
      <w:bodyDiv w:val="1"/>
      <w:marLeft w:val="0"/>
      <w:marRight w:val="0"/>
      <w:marTop w:val="0"/>
      <w:marBottom w:val="0"/>
      <w:divBdr>
        <w:top w:val="none" w:sz="0" w:space="0" w:color="auto"/>
        <w:left w:val="none" w:sz="0" w:space="0" w:color="auto"/>
        <w:bottom w:val="none" w:sz="0" w:space="0" w:color="auto"/>
        <w:right w:val="none" w:sz="0" w:space="0" w:color="auto"/>
      </w:divBdr>
    </w:div>
    <w:div w:id="1450318465">
      <w:bodyDiv w:val="1"/>
      <w:marLeft w:val="0"/>
      <w:marRight w:val="0"/>
      <w:marTop w:val="0"/>
      <w:marBottom w:val="0"/>
      <w:divBdr>
        <w:top w:val="none" w:sz="0" w:space="0" w:color="auto"/>
        <w:left w:val="none" w:sz="0" w:space="0" w:color="auto"/>
        <w:bottom w:val="none" w:sz="0" w:space="0" w:color="auto"/>
        <w:right w:val="none" w:sz="0" w:space="0" w:color="auto"/>
      </w:divBdr>
    </w:div>
    <w:div w:id="1756240868">
      <w:bodyDiv w:val="1"/>
      <w:marLeft w:val="0"/>
      <w:marRight w:val="0"/>
      <w:marTop w:val="0"/>
      <w:marBottom w:val="0"/>
      <w:divBdr>
        <w:top w:val="none" w:sz="0" w:space="0" w:color="auto"/>
        <w:left w:val="none" w:sz="0" w:space="0" w:color="auto"/>
        <w:bottom w:val="none" w:sz="0" w:space="0" w:color="auto"/>
        <w:right w:val="none" w:sz="0" w:space="0" w:color="auto"/>
      </w:divBdr>
    </w:div>
    <w:div w:id="1768310774">
      <w:bodyDiv w:val="1"/>
      <w:marLeft w:val="0"/>
      <w:marRight w:val="0"/>
      <w:marTop w:val="0"/>
      <w:marBottom w:val="0"/>
      <w:divBdr>
        <w:top w:val="none" w:sz="0" w:space="0" w:color="auto"/>
        <w:left w:val="none" w:sz="0" w:space="0" w:color="auto"/>
        <w:bottom w:val="none" w:sz="0" w:space="0" w:color="auto"/>
        <w:right w:val="none" w:sz="0" w:space="0" w:color="auto"/>
      </w:divBdr>
    </w:div>
    <w:div w:id="1856846806">
      <w:bodyDiv w:val="1"/>
      <w:marLeft w:val="0"/>
      <w:marRight w:val="0"/>
      <w:marTop w:val="0"/>
      <w:marBottom w:val="0"/>
      <w:divBdr>
        <w:top w:val="none" w:sz="0" w:space="0" w:color="auto"/>
        <w:left w:val="none" w:sz="0" w:space="0" w:color="auto"/>
        <w:bottom w:val="none" w:sz="0" w:space="0" w:color="auto"/>
        <w:right w:val="none" w:sz="0" w:space="0" w:color="auto"/>
      </w:divBdr>
      <w:divsChild>
        <w:div w:id="895118045">
          <w:marLeft w:val="274"/>
          <w:marRight w:val="0"/>
          <w:marTop w:val="0"/>
          <w:marBottom w:val="0"/>
          <w:divBdr>
            <w:top w:val="none" w:sz="0" w:space="0" w:color="auto"/>
            <w:left w:val="none" w:sz="0" w:space="0" w:color="auto"/>
            <w:bottom w:val="none" w:sz="0" w:space="0" w:color="auto"/>
            <w:right w:val="none" w:sz="0" w:space="0" w:color="auto"/>
          </w:divBdr>
        </w:div>
        <w:div w:id="1270578008">
          <w:marLeft w:val="274"/>
          <w:marRight w:val="0"/>
          <w:marTop w:val="0"/>
          <w:marBottom w:val="0"/>
          <w:divBdr>
            <w:top w:val="none" w:sz="0" w:space="0" w:color="auto"/>
            <w:left w:val="none" w:sz="0" w:space="0" w:color="auto"/>
            <w:bottom w:val="none" w:sz="0" w:space="0" w:color="auto"/>
            <w:right w:val="none" w:sz="0" w:space="0" w:color="auto"/>
          </w:divBdr>
        </w:div>
        <w:div w:id="95949208">
          <w:marLeft w:val="274"/>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3F7C6020A25E047895C0E18F4894C5E" ma:contentTypeVersion="7" ma:contentTypeDescription="Creare un nuovo documento." ma:contentTypeScope="" ma:versionID="196fe168d29b32ddda7dc15047b8d685">
  <xsd:schema xmlns:xsd="http://www.w3.org/2001/XMLSchema" xmlns:xs="http://www.w3.org/2001/XMLSchema" xmlns:p="http://schemas.microsoft.com/office/2006/metadata/properties" xmlns:ns2="6c3289aa-5e84-4ad4-b896-61f1a504b2a8" targetNamespace="http://schemas.microsoft.com/office/2006/metadata/properties" ma:root="true" ma:fieldsID="6a5981d94f8c359bc9dc9111361fbef7" ns2:_="">
    <xsd:import namespace="6c3289aa-5e84-4ad4-b896-61f1a504b2a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3289aa-5e84-4ad4-b896-61f1a504b2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B6127B-0C42-4A64-9A21-1EB0AA49B6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3289aa-5e84-4ad4-b896-61f1a504b2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38E70A-8077-4D52-9732-C2243281F266}">
  <ds:schemaRefs>
    <ds:schemaRef ds:uri="http://schemas.openxmlformats.org/officeDocument/2006/bibliography"/>
  </ds:schemaRefs>
</ds:datastoreItem>
</file>

<file path=customXml/itemProps3.xml><?xml version="1.0" encoding="utf-8"?>
<ds:datastoreItem xmlns:ds="http://schemas.openxmlformats.org/officeDocument/2006/customXml" ds:itemID="{5484B9B6-F77C-4BBA-98AE-6DD32AA59957}">
  <ds:schemaRefs>
    <ds:schemaRef ds:uri="http://schemas.microsoft.com/sharepoint/v3/contenttype/forms"/>
  </ds:schemaRefs>
</ds:datastoreItem>
</file>

<file path=customXml/itemProps4.xml><?xml version="1.0" encoding="utf-8"?>
<ds:datastoreItem xmlns:ds="http://schemas.openxmlformats.org/officeDocument/2006/customXml" ds:itemID="{E781F311-894B-48CF-BA63-7BFEE7CC45F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4</Pages>
  <Words>959</Words>
  <Characters>5468</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Giuliano Faini</dc:creator>
  <cp:keywords/>
  <dc:description/>
  <cp:lastModifiedBy>Adalberto Casalboni</cp:lastModifiedBy>
  <cp:revision>4</cp:revision>
  <dcterms:created xsi:type="dcterms:W3CDTF">2021-05-13T13:19:00Z</dcterms:created>
  <dcterms:modified xsi:type="dcterms:W3CDTF">2021-05-20T13:52:00Z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0x01010063F7C6020A25E047895C0E18F4894C5E</vt:lpwstr>
  </property>
</Properties>
</file>